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60"/>
        <w:rPr>
          <w:rFonts w:hint="eastAsia" w:ascii="宋体" w:hAnsi="宋体" w:eastAsia="宋体"/>
        </w:rPr>
      </w:pPr>
      <w:r/>
      <w:bookmarkStart w:id="53" w:name="_GoBack"/>
      <w:r/>
      <w:r/>
    </w:p>
    <w:p>
      <w:pPr>
        <w:ind w:firstLine="260"/>
        <w:rPr>
          <w:rFonts w:hint="eastAsia" w:ascii="宋体" w:hAnsi="宋体" w:eastAsia="宋体"/>
        </w:rPr>
      </w:pPr>
      <w:r>
        <w:rPr>
          <w:rFonts w:hint="eastAsia" w:ascii="宋体" w:hAnsi="宋体" w:eastAsia="宋体"/>
        </w:rPr>
      </w:r>
      <w:r/>
    </w:p>
    <w:p>
      <w:pPr>
        <w:ind w:firstLine="723"/>
        <w:jc w:val="center"/>
        <w:rPr>
          <w:rFonts w:hint="eastAsia" w:ascii="宋体" w:hAnsi="宋体" w:eastAsia="宋体"/>
          <w:b/>
          <w:sz w:val="72"/>
          <w:szCs w:val="72"/>
        </w:rPr>
      </w:pPr>
      <w:r>
        <w:rPr>
          <w:rFonts w:hint="eastAsia" w:ascii="宋体" w:hAnsi="宋体" w:eastAsia="宋体"/>
          <w:b/>
          <w:sz w:val="72"/>
          <w:szCs w:val="72"/>
        </w:rPr>
        <w:t xml:space="preserve">苏州市政府采购</w:t>
      </w:r>
      <w:r/>
    </w:p>
    <w:p>
      <w:pPr>
        <w:ind w:firstLine="723"/>
        <w:jc w:val="center"/>
        <w:rPr>
          <w:rFonts w:hint="eastAsia" w:ascii="宋体" w:hAnsi="宋体" w:eastAsia="宋体"/>
          <w:b/>
          <w:sz w:val="72"/>
          <w:szCs w:val="72"/>
        </w:rPr>
      </w:pPr>
      <w:r>
        <w:rPr>
          <w:rFonts w:hint="eastAsia" w:ascii="宋体" w:hAnsi="宋体" w:eastAsia="宋体"/>
          <w:b/>
          <w:sz w:val="72"/>
          <w:szCs w:val="72"/>
        </w:rPr>
        <w:t xml:space="preserve">竞争性磋商采购文件</w:t>
      </w:r>
      <w:r/>
    </w:p>
    <w:p>
      <w:pPr>
        <w:ind w:firstLine="260"/>
        <w:jc w:val="center"/>
        <w:rPr>
          <w:rFonts w:hint="eastAsia" w:ascii="宋体" w:hAnsi="宋体" w:eastAsia="宋体"/>
        </w:rPr>
      </w:pPr>
      <w:r>
        <w:rPr>
          <w:rFonts w:hint="eastAsia" w:ascii="宋体" w:hAnsi="宋体" w:eastAsia="宋体"/>
        </w:rPr>
      </w:r>
      <w:r/>
    </w:p>
    <w:p>
      <w:pPr>
        <w:ind w:firstLine="260"/>
        <w:jc w:val="left"/>
        <w:tabs>
          <w:tab w:val="left" w:pos="7540" w:leader="none"/>
        </w:tabs>
        <w:rPr>
          <w:rFonts w:hint="eastAsia" w:ascii="宋体" w:hAnsi="宋体" w:eastAsia="宋体"/>
        </w:rPr>
      </w:pPr>
      <w:r>
        <w:rPr>
          <w:rFonts w:hint="eastAsia" w:ascii="宋体" w:hAnsi="宋体" w:eastAsia="宋体"/>
        </w:rPr>
        <w:tab/>
      </w:r>
      <w:r/>
    </w:p>
    <w:p>
      <w:pPr>
        <w:ind w:firstLine="260"/>
        <w:jc w:val="center"/>
        <w:rPr>
          <w:rFonts w:hint="eastAsia" w:ascii="宋体" w:hAnsi="宋体" w:eastAsia="宋体"/>
        </w:rPr>
      </w:pPr>
      <w:r>
        <w:rPr>
          <w:rFonts w:hint="eastAsia" w:ascii="宋体" w:hAnsi="宋体" w:eastAsia="宋体"/>
        </w:rPr>
      </w:r>
      <w:r/>
    </w:p>
    <w:p>
      <w:pPr>
        <w:ind w:left="2904" w:hanging="1534"/>
        <w:spacing w:line="360" w:lineRule="auto"/>
        <w:rPr>
          <w:rFonts w:hint="eastAsia" w:ascii="宋体" w:hAnsi="宋体" w:eastAsia="宋体"/>
          <w:b/>
          <w:spacing w:val="-6"/>
          <w:sz w:val="32"/>
        </w:rPr>
      </w:pPr>
      <w:r>
        <w:rPr>
          <w:rFonts w:hint="eastAsia" w:ascii="宋体" w:hAnsi="宋体" w:eastAsia="宋体"/>
          <w:b/>
          <w:spacing w:val="-6"/>
          <w:sz w:val="32"/>
        </w:rPr>
        <w:t xml:space="preserve">采购编号:JSZC-320500-XCXC-C2026-0003</w:t>
      </w:r>
      <w:r/>
    </w:p>
    <w:p>
      <w:pPr>
        <w:ind w:left="2904" w:hanging="1534"/>
        <w:spacing w:line="360" w:lineRule="auto"/>
        <w:rPr>
          <w:rFonts w:hint="eastAsia" w:ascii="宋体" w:hAnsi="宋体" w:eastAsia="宋体"/>
          <w:b/>
          <w:spacing w:val="-6"/>
          <w:sz w:val="32"/>
        </w:rPr>
      </w:pPr>
      <w:r>
        <w:rPr>
          <w:rFonts w:hint="eastAsia" w:ascii="宋体" w:hAnsi="宋体" w:eastAsia="宋体"/>
          <w:b/>
          <w:spacing w:val="-6"/>
          <w:sz w:val="32"/>
        </w:rPr>
        <w:t xml:space="preserve">采购项目：苏州图书馆（人民路馆、北馆）10kv变电所智能运维管理项目</w:t>
      </w:r>
      <w:r/>
    </w:p>
    <w:p>
      <w:pPr>
        <w:ind w:firstLine="1379"/>
        <w:spacing w:line="360" w:lineRule="auto"/>
        <w:rPr>
          <w:rFonts w:hint="eastAsia" w:ascii="宋体" w:hAnsi="宋体" w:eastAsia="宋体"/>
          <w:b/>
          <w:spacing w:val="-6"/>
          <w:sz w:val="32"/>
        </w:rPr>
      </w:pPr>
      <w:r>
        <w:rPr>
          <w:rFonts w:hint="eastAsia" w:ascii="宋体" w:hAnsi="宋体" w:eastAsia="宋体"/>
          <w:b/>
          <w:spacing w:val="-6"/>
          <w:sz w:val="32"/>
        </w:rPr>
        <w:t xml:space="preserve">采购人：苏州图书馆</w:t>
      </w:r>
      <w:r/>
    </w:p>
    <w:p>
      <w:pPr>
        <w:ind w:firstLine="1379"/>
        <w:spacing w:line="360" w:lineRule="auto"/>
        <w:rPr>
          <w:rFonts w:hint="eastAsia" w:ascii="宋体" w:hAnsi="宋体" w:eastAsia="宋体"/>
          <w:b/>
          <w:spacing w:val="-6"/>
          <w:sz w:val="32"/>
        </w:rPr>
      </w:pPr>
      <w:r>
        <w:rPr>
          <w:rFonts w:hint="eastAsia" w:ascii="宋体" w:hAnsi="宋体" w:eastAsia="宋体"/>
          <w:b/>
          <w:spacing w:val="-6"/>
          <w:sz w:val="32"/>
        </w:rPr>
        <w:t xml:space="preserve">采购类别：服务类</w:t>
      </w:r>
      <w:r/>
    </w:p>
    <w:p>
      <w:pPr>
        <w:pStyle w:val="675"/>
        <w:rPr>
          <w:rFonts w:hint="eastAsia" w:ascii="宋体" w:hAnsi="宋体" w:eastAsia="宋体"/>
        </w:rPr>
      </w:pPr>
      <w:r>
        <w:rPr>
          <w:rFonts w:hint="eastAsia" w:ascii="宋体" w:hAnsi="宋体" w:eastAsia="宋体"/>
        </w:rPr>
      </w:r>
      <w:r/>
    </w:p>
    <w:p>
      <w:pPr>
        <w:ind w:firstLine="440"/>
        <w:rPr>
          <w:rFonts w:hint="eastAsia" w:ascii="宋体" w:hAnsi="宋体" w:eastAsia="宋体"/>
          <w:b/>
        </w:rPr>
      </w:pPr>
      <w:r>
        <w:rPr>
          <w:rFonts w:hint="eastAsia" w:ascii="宋体" w:hAnsi="宋体" w:eastAsia="宋体"/>
          <w:b/>
        </w:rPr>
      </w:r>
      <w:r/>
    </w:p>
    <w:p>
      <w:pPr>
        <w:jc w:val="center"/>
        <w:spacing w:line="360" w:lineRule="auto"/>
        <w:rPr>
          <w:rFonts w:hint="eastAsia" w:ascii="宋体" w:hAnsi="宋体" w:eastAsia="宋体"/>
          <w:b/>
        </w:rPr>
      </w:pPr>
      <w:r>
        <w:rPr>
          <w:rFonts w:hint="eastAsia" w:ascii="宋体" w:hAnsi="宋体" w:eastAsia="宋体"/>
          <w:b/>
        </w:rPr>
      </w:r>
      <w:r/>
    </w:p>
    <w:p>
      <w:pPr>
        <w:jc w:val="center"/>
        <w:spacing w:line="360" w:lineRule="auto"/>
        <w:rPr>
          <w:rFonts w:hint="eastAsia" w:ascii="宋体" w:hAnsi="宋体" w:eastAsia="宋体"/>
          <w:b/>
        </w:rPr>
      </w:pPr>
      <w:r>
        <w:rPr>
          <w:rFonts w:hint="eastAsia" w:ascii="宋体" w:hAnsi="宋体" w:eastAsia="宋体"/>
          <w:b/>
        </w:rPr>
      </w:r>
      <w:r/>
    </w:p>
    <w:p>
      <w:pPr>
        <w:jc w:val="center"/>
        <w:spacing w:line="360" w:lineRule="auto"/>
        <w:rPr>
          <w:rFonts w:hint="eastAsia" w:ascii="宋体" w:hAnsi="宋体" w:eastAsia="宋体"/>
          <w:b/>
        </w:rPr>
      </w:pPr>
      <w:r>
        <w:rPr>
          <w:rFonts w:hint="eastAsia" w:ascii="宋体" w:hAnsi="宋体" w:eastAsia="宋体"/>
          <w:b/>
        </w:rPr>
      </w:r>
      <w:r/>
    </w:p>
    <w:p>
      <w:pPr>
        <w:jc w:val="center"/>
        <w:spacing w:line="360" w:lineRule="auto"/>
        <w:rPr>
          <w:rFonts w:hint="eastAsia" w:ascii="宋体" w:hAnsi="宋体" w:eastAsia="宋体"/>
          <w:b/>
          <w:spacing w:val="-6"/>
          <w:sz w:val="32"/>
        </w:rPr>
      </w:pPr>
      <w:r>
        <w:rPr>
          <w:rFonts w:hint="eastAsia" w:ascii="宋体" w:hAnsi="宋体" w:eastAsia="宋体"/>
          <w:b/>
          <w:spacing w:val="-6"/>
          <w:sz w:val="32"/>
        </w:rPr>
      </w:r>
      <w:r/>
    </w:p>
    <w:p>
      <w:pPr>
        <w:jc w:val="center"/>
        <w:spacing w:line="360" w:lineRule="auto"/>
        <w:rPr>
          <w:rFonts w:hint="eastAsia" w:ascii="宋体" w:hAnsi="宋体" w:eastAsia="宋体"/>
          <w:sz w:val="30"/>
          <w:szCs w:val="30"/>
        </w:rPr>
      </w:pPr>
      <w:r>
        <w:rPr>
          <w:rFonts w:hint="eastAsia" w:ascii="宋体" w:hAnsi="宋体" w:eastAsia="宋体"/>
          <w:sz w:val="30"/>
          <w:szCs w:val="30"/>
        </w:rPr>
      </w:r>
      <w:r/>
    </w:p>
    <w:p>
      <w:pPr>
        <w:jc w:val="center"/>
        <w:spacing w:line="360" w:lineRule="auto"/>
        <w:rPr>
          <w:rFonts w:hint="eastAsia" w:ascii="宋体" w:hAnsi="宋体" w:eastAsia="宋体"/>
          <w:sz w:val="30"/>
          <w:szCs w:val="30"/>
        </w:rPr>
      </w:pPr>
      <w:r>
        <w:rPr>
          <w:rFonts w:hint="eastAsia" w:ascii="宋体" w:hAnsi="宋体" w:eastAsia="宋体"/>
          <w:sz w:val="30"/>
          <w:szCs w:val="30"/>
        </w:rPr>
        <w:t xml:space="preserve">苏州星创招投标咨询有限公司</w:t>
      </w:r>
      <w:r/>
    </w:p>
    <w:p>
      <w:pPr>
        <w:jc w:val="center"/>
        <w:spacing w:line="360" w:lineRule="auto"/>
        <w:rPr>
          <w:rFonts w:hint="eastAsia" w:ascii="宋体" w:hAnsi="宋体" w:eastAsia="宋体"/>
          <w:sz w:val="30"/>
          <w:szCs w:val="30"/>
        </w:rPr>
      </w:pPr>
      <w:r>
        <w:rPr>
          <w:rFonts w:hint="eastAsia" w:ascii="宋体" w:hAnsi="宋体" w:eastAsia="宋体"/>
          <w:sz w:val="30"/>
          <w:szCs w:val="30"/>
        </w:rPr>
        <w:t xml:space="preserve">2026年04月</w:t>
      </w:r>
      <w:r/>
    </w:p>
    <w:p>
      <w:pPr>
        <w:pStyle w:val="682"/>
        <w:ind w:left="520"/>
      </w:pPr>
      <w:r/>
      <w:r/>
    </w:p>
    <w:p>
      <w:pPr>
        <w:ind w:firstLine="361"/>
        <w:spacing w:line="500" w:lineRule="exact"/>
        <w:rPr>
          <w:rFonts w:hint="eastAsia" w:ascii="宋体" w:hAnsi="宋体" w:eastAsia="宋体"/>
          <w:b/>
          <w:sz w:val="36"/>
        </w:rPr>
      </w:pPr>
      <w:r>
        <w:rPr>
          <w:rFonts w:hint="eastAsia" w:ascii="宋体" w:hAnsi="宋体" w:eastAsia="宋体"/>
          <w:b/>
          <w:sz w:val="36"/>
        </w:rPr>
      </w:r>
      <w:r/>
    </w:p>
    <w:p>
      <w:pPr>
        <w:pStyle w:val="661"/>
        <w:ind w:firstLine="522"/>
        <w:jc w:val="center"/>
        <w:rPr>
          <w:rFonts w:hint="eastAsia" w:ascii="宋体" w:hAnsi="宋体" w:eastAsia="宋体"/>
          <w:b/>
          <w:sz w:val="52"/>
        </w:rPr>
      </w:pPr>
      <w:r>
        <w:rPr>
          <w:rFonts w:hint="eastAsia" w:ascii="宋体" w:hAnsi="宋体" w:eastAsia="宋体"/>
          <w:b/>
          <w:sz w:val="52"/>
        </w:rPr>
        <w:t xml:space="preserve">总目录</w:t>
      </w:r>
      <w:r/>
    </w:p>
    <w:p>
      <w:pPr>
        <w:pStyle w:val="661"/>
        <w:ind w:firstLine="300"/>
        <w:jc w:val="center"/>
        <w:rPr>
          <w:rFonts w:hint="eastAsia" w:ascii="宋体" w:hAnsi="宋体" w:eastAsia="宋体"/>
          <w:sz w:val="30"/>
        </w:rPr>
      </w:pPr>
      <w:r>
        <w:rPr>
          <w:rFonts w:hint="eastAsia" w:ascii="宋体" w:hAnsi="宋体" w:eastAsia="宋体"/>
          <w:sz w:val="30"/>
        </w:rPr>
      </w:r>
      <w:r/>
    </w:p>
    <w:p>
      <w:pPr>
        <w:pStyle w:val="675"/>
        <w:spacing w:line="480" w:lineRule="auto"/>
        <w:tabs>
          <w:tab w:val="right" w:pos="9070" w:leader="dot"/>
        </w:tabs>
      </w:pPr>
      <w:r>
        <w:rPr>
          <w:rFonts w:hint="eastAsia" w:ascii="宋体" w:hAnsi="宋体" w:eastAsia="宋体"/>
        </w:rPr>
        <w:fldChar w:fldCharType="begin"/>
      </w:r>
      <w:r>
        <w:rPr>
          <w:rFonts w:hint="eastAsia" w:ascii="宋体" w:hAnsi="宋体" w:eastAsia="宋体"/>
        </w:rPr>
        <w:instrText xml:space="preserve"> TOC \o "1-1"</w:instrText>
      </w:r>
      <w:r>
        <w:rPr>
          <w:rFonts w:hint="eastAsia" w:ascii="宋体" w:hAnsi="宋体" w:eastAsia="宋体"/>
        </w:rPr>
        <w:fldChar w:fldCharType="separate"/>
      </w:r>
      <w:r>
        <w:rPr>
          <w:rFonts w:hint="eastAsia" w:ascii="宋体" w:hAnsi="宋体" w:eastAsia="宋体" w:cs="宋体"/>
          <w:szCs w:val="44"/>
        </w:rPr>
        <w:t xml:space="preserve">前附表</w:t>
      </w:r>
      <w:r>
        <w:tab/>
      </w:r>
      <w:r>
        <w:fldChar w:fldCharType="begin"/>
      </w:r>
      <w:r>
        <w:instrText xml:space="preserve"> PAGEREF _Toc23932 \h </w:instrText>
      </w:r>
      <w:r>
        <w:fldChar w:fldCharType="separate"/>
      </w:r>
      <w:r>
        <w:t xml:space="preserve">- 3 -</w:t>
      </w:r>
      <w:r>
        <w:fldChar w:fldCharType="end"/>
      </w:r>
      <w:r/>
    </w:p>
    <w:p>
      <w:pPr>
        <w:pStyle w:val="675"/>
        <w:spacing w:line="480" w:lineRule="auto"/>
        <w:tabs>
          <w:tab w:val="right" w:pos="9070" w:leader="dot"/>
        </w:tabs>
      </w:pPr>
      <w:r>
        <w:rPr>
          <w:rFonts w:hint="eastAsia" w:ascii="宋体" w:hAnsi="宋体" w:eastAsia="宋体"/>
        </w:rPr>
        <w:t xml:space="preserve">第一章 竞争性磋商公告</w:t>
      </w:r>
      <w:r>
        <w:tab/>
      </w:r>
      <w:r>
        <w:fldChar w:fldCharType="begin"/>
      </w:r>
      <w:r>
        <w:instrText xml:space="preserve"> PAGEREF _Toc32645 \h </w:instrText>
      </w:r>
      <w:r>
        <w:fldChar w:fldCharType="separate"/>
      </w:r>
      <w:r>
        <w:t xml:space="preserve">- 5 -</w:t>
      </w:r>
      <w:r>
        <w:fldChar w:fldCharType="end"/>
      </w:r>
      <w:r/>
    </w:p>
    <w:p>
      <w:pPr>
        <w:pStyle w:val="675"/>
        <w:spacing w:line="480" w:lineRule="auto"/>
        <w:tabs>
          <w:tab w:val="right" w:pos="9070" w:leader="dot"/>
        </w:tabs>
      </w:pPr>
      <w:r>
        <w:rPr>
          <w:rFonts w:hint="eastAsia" w:ascii="宋体" w:hAnsi="宋体" w:eastAsia="宋体"/>
        </w:rPr>
        <w:t xml:space="preserve">第二章 磋商供应商须知</w:t>
      </w:r>
      <w:r>
        <w:tab/>
      </w:r>
      <w:r>
        <w:fldChar w:fldCharType="begin"/>
      </w:r>
      <w:r>
        <w:instrText xml:space="preserve"> PAGEREF _Toc20400 \h </w:instrText>
      </w:r>
      <w:r>
        <w:fldChar w:fldCharType="separate"/>
      </w:r>
      <w:r>
        <w:t xml:space="preserve">- 10 -</w:t>
      </w:r>
      <w:r>
        <w:fldChar w:fldCharType="end"/>
      </w:r>
      <w:r/>
    </w:p>
    <w:p>
      <w:pPr>
        <w:pStyle w:val="675"/>
        <w:spacing w:line="480" w:lineRule="auto"/>
        <w:tabs>
          <w:tab w:val="right" w:pos="9070" w:leader="dot"/>
        </w:tabs>
      </w:pPr>
      <w:r>
        <w:rPr>
          <w:rFonts w:hint="eastAsia" w:ascii="宋体" w:hAnsi="宋体" w:eastAsia="宋体"/>
        </w:rPr>
        <w:t xml:space="preserve">第三章 响应文件格式</w:t>
      </w:r>
      <w:r>
        <w:tab/>
      </w:r>
      <w:r>
        <w:fldChar w:fldCharType="begin"/>
      </w:r>
      <w:r>
        <w:instrText xml:space="preserve"> PAGEREF _Toc18953 \h </w:instrText>
      </w:r>
      <w:r>
        <w:fldChar w:fldCharType="separate"/>
      </w:r>
      <w:r>
        <w:t xml:space="preserve">- 26 -</w:t>
      </w:r>
      <w:r>
        <w:fldChar w:fldCharType="end"/>
      </w:r>
      <w:r/>
    </w:p>
    <w:p>
      <w:pPr>
        <w:pStyle w:val="675"/>
        <w:spacing w:line="480" w:lineRule="auto"/>
        <w:tabs>
          <w:tab w:val="right" w:pos="9070" w:leader="dot"/>
        </w:tabs>
      </w:pPr>
      <w:r>
        <w:rPr>
          <w:rFonts w:hint="eastAsia" w:ascii="宋体" w:hAnsi="宋体" w:eastAsia="宋体"/>
        </w:rPr>
        <w:t xml:space="preserve">第四章 磋商采购内容</w:t>
      </w:r>
      <w:r>
        <w:tab/>
      </w:r>
      <w:r>
        <w:fldChar w:fldCharType="begin"/>
      </w:r>
      <w:r>
        <w:instrText xml:space="preserve"> PAGEREF _Toc12642 \h </w:instrText>
      </w:r>
      <w:r>
        <w:fldChar w:fldCharType="separate"/>
      </w:r>
      <w:r>
        <w:t xml:space="preserve">- 41 -</w:t>
      </w:r>
      <w:r>
        <w:fldChar w:fldCharType="end"/>
      </w:r>
      <w:r/>
    </w:p>
    <w:p>
      <w:pPr>
        <w:pStyle w:val="675"/>
        <w:spacing w:line="480" w:lineRule="auto"/>
        <w:tabs>
          <w:tab w:val="right" w:pos="9070" w:leader="dot"/>
        </w:tabs>
      </w:pPr>
      <w:r>
        <w:rPr>
          <w:rFonts w:hint="eastAsia" w:ascii="宋体" w:hAnsi="宋体" w:eastAsia="宋体" w:cs="宋体"/>
        </w:rPr>
        <w:t xml:space="preserve">第五章 合同条款</w:t>
      </w:r>
      <w:r>
        <w:tab/>
      </w:r>
      <w:r>
        <w:rPr>
          <w:rFonts w:hint="eastAsia"/>
        </w:rPr>
        <w:t xml:space="preserve">51</w:t>
      </w:r>
      <w:r/>
    </w:p>
    <w:p>
      <w:pPr>
        <w:pStyle w:val="675"/>
        <w:spacing w:line="480" w:lineRule="auto"/>
        <w:tabs>
          <w:tab w:val="right" w:pos="9070" w:leader="dot"/>
        </w:tabs>
      </w:pPr>
      <w:r>
        <w:rPr>
          <w:rFonts w:hint="eastAsia" w:ascii="宋体" w:hAnsi="宋体" w:eastAsia="宋体" w:cs="宋体"/>
        </w:rPr>
        <w:t xml:space="preserve">第六章 评审办法</w:t>
      </w:r>
      <w:r>
        <w:tab/>
      </w:r>
      <w:r>
        <w:fldChar w:fldCharType="begin"/>
      </w:r>
      <w:r>
        <w:instrText xml:space="preserve"> PAGEREF _Toc5091 \h </w:instrText>
      </w:r>
      <w:r>
        <w:fldChar w:fldCharType="separate"/>
      </w:r>
      <w:r>
        <w:t xml:space="preserve">62</w:t>
      </w:r>
      <w:r>
        <w:fldChar w:fldCharType="end"/>
      </w:r>
      <w:r/>
    </w:p>
    <w:p>
      <w:pPr>
        <w:pStyle w:val="675"/>
        <w:spacing w:line="480" w:lineRule="auto"/>
        <w:tabs>
          <w:tab w:val="right" w:pos="9070" w:leader="dot"/>
        </w:tabs>
        <w:rPr>
          <w:rFonts w:hint="eastAsia" w:ascii="宋体" w:hAnsi="宋体" w:eastAsia="宋体"/>
        </w:rPr>
      </w:pPr>
      <w:r>
        <w:rPr>
          <w:rFonts w:hint="eastAsia" w:ascii="宋体" w:hAnsi="宋体" w:eastAsia="宋体"/>
        </w:rPr>
        <w:fldChar w:fldCharType="end"/>
      </w:r>
      <w:r/>
    </w:p>
    <w:p>
      <w:pPr>
        <w:ind w:firstLine="321"/>
        <w:rPr>
          <w:rFonts w:hint="eastAsia" w:ascii="宋体" w:hAnsi="宋体" w:eastAsia="宋体"/>
          <w:b/>
          <w:sz w:val="32"/>
        </w:rPr>
      </w:pPr>
      <w:r>
        <w:rPr>
          <w:rFonts w:ascii="宋体" w:hAnsi="宋体" w:eastAsia="宋体"/>
          <w:b/>
          <w:sz w:val="32"/>
        </w:rPr>
        <w:br w:type="page" w:clear="all"/>
      </w:r>
      <w:r/>
    </w:p>
    <w:p>
      <w:pPr>
        <w:pStyle w:val="653"/>
        <w:ind w:firstLine="442"/>
        <w:jc w:val="center"/>
        <w:rPr>
          <w:rFonts w:hint="eastAsia" w:ascii="宋体" w:hAnsi="宋体" w:eastAsia="宋体" w:cs="宋体"/>
          <w:szCs w:val="44"/>
        </w:rPr>
      </w:pPr>
      <w:r/>
      <w:bookmarkStart w:id="0" w:name="_Toc23932"/>
      <w:r>
        <w:rPr>
          <w:rFonts w:hint="eastAsia" w:ascii="宋体" w:hAnsi="宋体" w:eastAsia="宋体" w:cs="宋体"/>
          <w:szCs w:val="44"/>
        </w:rPr>
        <w:t xml:space="preserve">前附表</w:t>
      </w:r>
      <w:bookmarkEnd w:id="0"/>
      <w:r/>
      <w:r/>
    </w:p>
    <w:tbl>
      <w:tblPr>
        <w:tblStyle w:val="659"/>
        <w:tblW w:w="8647"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7564"/>
      </w:tblGrid>
      <w:tr>
        <w:trPr>
          <w:trHeight w:val="495"/>
        </w:trPr>
        <w:tc>
          <w:tcPr>
            <w:tcW w:w="1083" w:type="dxa"/>
            <w:vAlign w:val="center"/>
            <w:textDirection w:val="lrTb"/>
            <w:noWrap w:val="false"/>
          </w:tcPr>
          <w:p>
            <w:pPr>
              <w:ind w:firstLine="241"/>
              <w:jc w:val="center"/>
              <w:spacing w:line="276" w:lineRule="auto"/>
              <w:rPr>
                <w:rFonts w:hint="eastAsia" w:ascii="宋体" w:hAnsi="宋体" w:eastAsia="宋体"/>
                <w:b/>
                <w:sz w:val="24"/>
              </w:rPr>
            </w:pPr>
            <w:r>
              <w:rPr>
                <w:rFonts w:hint="eastAsia" w:ascii="宋体" w:hAnsi="宋体" w:eastAsia="宋体"/>
                <w:b/>
                <w:sz w:val="24"/>
              </w:rPr>
              <w:t xml:space="preserve">项号</w:t>
            </w:r>
            <w:r/>
          </w:p>
        </w:tc>
        <w:tc>
          <w:tcPr>
            <w:tcW w:w="7564" w:type="dxa"/>
            <w:vAlign w:val="center"/>
            <w:textDirection w:val="lrTb"/>
            <w:noWrap w:val="false"/>
          </w:tcPr>
          <w:p>
            <w:pPr>
              <w:ind w:firstLine="241"/>
              <w:jc w:val="center"/>
              <w:spacing w:line="276" w:lineRule="auto"/>
              <w:rPr>
                <w:rFonts w:hint="eastAsia" w:ascii="宋体" w:hAnsi="宋体" w:eastAsia="宋体"/>
                <w:b/>
                <w:sz w:val="24"/>
              </w:rPr>
            </w:pPr>
            <w:r>
              <w:rPr>
                <w:rFonts w:hint="eastAsia" w:ascii="宋体" w:hAnsi="宋体" w:eastAsia="宋体"/>
                <w:b/>
                <w:sz w:val="24"/>
              </w:rPr>
              <w:t xml:space="preserve">内容规定</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ascii="宋体" w:hAnsi="宋体" w:eastAsia="宋体"/>
                <w:sz w:val="24"/>
                <w:szCs w:val="24"/>
              </w:rPr>
              <w:t xml:space="preserve">1</w:t>
            </w:r>
            <w:r/>
          </w:p>
        </w:tc>
        <w:tc>
          <w:tcPr>
            <w:tcW w:w="7564" w:type="dxa"/>
            <w:vAlign w:val="center"/>
            <w:textDirection w:val="lrTb"/>
            <w:noWrap w:val="false"/>
          </w:tcPr>
          <w:p>
            <w:pPr>
              <w:spacing w:line="276" w:lineRule="auto"/>
              <w:rPr>
                <w:rFonts w:hint="eastAsia" w:ascii="宋体" w:hAnsi="宋体" w:eastAsia="宋体"/>
                <w:sz w:val="24"/>
              </w:rPr>
            </w:pPr>
            <w:r>
              <w:rPr>
                <w:rFonts w:hint="eastAsia" w:ascii="宋体" w:hAnsi="宋体" w:eastAsia="宋体"/>
                <w:sz w:val="24"/>
              </w:rPr>
              <w:t xml:space="preserve">采购内容：苏州图书馆（人民路馆、北馆）10kv变电所智能运维管理项目</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2</w:t>
            </w:r>
            <w:r/>
          </w:p>
        </w:tc>
        <w:tc>
          <w:tcPr>
            <w:tcW w:w="7564" w:type="dxa"/>
            <w:vAlign w:val="center"/>
            <w:textDirection w:val="lrTb"/>
            <w:noWrap w:val="false"/>
          </w:tcPr>
          <w:p>
            <w:pPr>
              <w:spacing w:line="276" w:lineRule="auto"/>
              <w:rPr>
                <w:rFonts w:hint="eastAsia" w:ascii="宋体" w:hAnsi="宋体" w:eastAsia="宋体"/>
                <w:sz w:val="24"/>
                <w:szCs w:val="24"/>
              </w:rPr>
            </w:pPr>
            <w:r>
              <w:rPr>
                <w:rFonts w:hint="eastAsia" w:ascii="宋体" w:hAnsi="宋体" w:eastAsia="宋体"/>
                <w:sz w:val="24"/>
                <w:szCs w:val="24"/>
              </w:rPr>
              <w:t xml:space="preserve">标段数：1个标段</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3</w:t>
            </w:r>
            <w:r/>
          </w:p>
        </w:tc>
        <w:tc>
          <w:tcPr>
            <w:tcW w:w="7564" w:type="dxa"/>
            <w:vAlign w:val="center"/>
            <w:textDirection w:val="lrTb"/>
            <w:noWrap w:val="false"/>
          </w:tcPr>
          <w:p>
            <w:pPr>
              <w:spacing w:line="276" w:lineRule="auto"/>
              <w:rPr>
                <w:rFonts w:hint="eastAsia" w:ascii="宋体" w:hAnsi="宋体" w:eastAsia="宋体"/>
                <w:sz w:val="24"/>
              </w:rPr>
            </w:pPr>
            <w:r>
              <w:rPr>
                <w:rFonts w:hint="eastAsia" w:ascii="宋体" w:hAnsi="宋体" w:eastAsia="宋体"/>
                <w:sz w:val="24"/>
              </w:rPr>
              <w:t xml:space="preserve">响应文件有效期为90天（日历日）</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4</w:t>
            </w:r>
            <w:r/>
          </w:p>
        </w:tc>
        <w:tc>
          <w:tcPr>
            <w:tcW w:w="7564" w:type="dxa"/>
            <w:vAlign w:val="center"/>
            <w:textDirection w:val="lrTb"/>
            <w:noWrap w:val="false"/>
          </w:tcPr>
          <w:p>
            <w:pPr>
              <w:spacing w:line="276" w:lineRule="auto"/>
              <w:rPr>
                <w:rFonts w:hint="eastAsia" w:ascii="宋体" w:hAnsi="宋体" w:eastAsiaTheme="minorEastAsia"/>
                <w:sz w:val="24"/>
              </w:rPr>
            </w:pPr>
            <w:r>
              <w:rPr>
                <w:rFonts w:hint="eastAsia" w:asciiTheme="minorEastAsia" w:hAnsiTheme="minorEastAsia" w:eastAsiaTheme="minorEastAsia" w:cstheme="minorEastAsia"/>
                <w:bCs/>
                <w:sz w:val="24"/>
                <w:szCs w:val="24"/>
              </w:rPr>
              <w:t xml:space="preserve">服务时间：</w:t>
            </w:r>
            <w:r>
              <w:rPr>
                <w:rFonts w:hint="eastAsia" w:asciiTheme="minorEastAsia" w:hAnsiTheme="minorEastAsia" w:eastAsiaTheme="minorEastAsia"/>
                <w:sz w:val="24"/>
                <w:szCs w:val="24"/>
              </w:rPr>
              <w:t xml:space="preserve">2年，具体以甲方通知为准</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5</w:t>
            </w:r>
            <w:r/>
          </w:p>
        </w:tc>
        <w:tc>
          <w:tcPr>
            <w:tcW w:w="7564" w:type="dxa"/>
            <w:vAlign w:val="center"/>
            <w:textDirection w:val="lrTb"/>
            <w:noWrap w:val="false"/>
          </w:tcPr>
          <w:p>
            <w:pPr>
              <w:spacing w:line="276" w:lineRule="auto"/>
              <w:rPr>
                <w:rFonts w:hint="eastAsia" w:ascii="宋体" w:hAnsi="宋体" w:eastAsia="宋体"/>
                <w:sz w:val="24"/>
              </w:rPr>
            </w:pPr>
            <w:r>
              <w:rPr>
                <w:rFonts w:hint="eastAsia" w:ascii="宋体" w:hAnsi="宋体" w:eastAsia="宋体"/>
                <w:sz w:val="24"/>
              </w:rPr>
              <w:t xml:space="preserve">磋商保证金：不提交，本项目磋商文件内关于磋商保证金的相关规定均不适用。</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6</w:t>
            </w:r>
            <w:r/>
          </w:p>
        </w:tc>
        <w:tc>
          <w:tcPr>
            <w:tcW w:w="7564" w:type="dxa"/>
            <w:vAlign w:val="center"/>
            <w:textDirection w:val="lrTb"/>
            <w:noWrap w:val="false"/>
          </w:tcPr>
          <w:p>
            <w:pPr>
              <w:spacing w:line="276" w:lineRule="auto"/>
              <w:rPr>
                <w:rFonts w:hint="eastAsia" w:ascii="宋体" w:hAnsi="宋体" w:eastAsia="宋体"/>
                <w:sz w:val="24"/>
              </w:rPr>
            </w:pPr>
            <w:r>
              <w:rPr>
                <w:rFonts w:hint="eastAsia" w:ascii="宋体" w:hAnsi="宋体" w:eastAsia="宋体"/>
                <w:sz w:val="24"/>
              </w:rPr>
              <w:t xml:space="preserve">签订合同：成交通知书发出之日起</w:t>
            </w:r>
            <w:r>
              <w:rPr>
                <w:rFonts w:ascii="宋体" w:hAnsi="宋体" w:eastAsia="宋体"/>
                <w:sz w:val="24"/>
              </w:rPr>
              <w:t xml:space="preserve">30</w:t>
            </w:r>
            <w:r>
              <w:rPr>
                <w:rFonts w:hint="eastAsia" w:ascii="宋体" w:hAnsi="宋体" w:eastAsia="宋体"/>
                <w:sz w:val="24"/>
              </w:rPr>
              <w:t xml:space="preserve">日内</w:t>
            </w:r>
            <w:r/>
          </w:p>
        </w:tc>
      </w:tr>
      <w:tr>
        <w:trPr>
          <w:trHeight w:val="495"/>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7</w:t>
            </w:r>
            <w:r/>
          </w:p>
        </w:tc>
        <w:tc>
          <w:tcPr>
            <w:tcW w:w="7564" w:type="dxa"/>
            <w:vAlign w:val="center"/>
            <w:textDirection w:val="lrTb"/>
            <w:noWrap w:val="false"/>
          </w:tcPr>
          <w:p>
            <w:pPr>
              <w:spacing w:line="276" w:lineRule="auto"/>
              <w:rPr>
                <w:rFonts w:hint="eastAsia" w:ascii="宋体" w:hAnsi="宋体" w:eastAsia="宋体"/>
                <w:sz w:val="24"/>
              </w:rPr>
            </w:pPr>
            <w:r>
              <w:rPr>
                <w:rFonts w:ascii="宋体" w:hAnsi="宋体" w:eastAsia="宋体"/>
                <w:sz w:val="24"/>
                <w:szCs w:val="24"/>
              </w:rPr>
              <w:t xml:space="preserve">现场</w:t>
            </w:r>
            <w:r>
              <w:rPr>
                <w:rFonts w:hint="eastAsia" w:ascii="宋体" w:hAnsi="宋体" w:eastAsia="宋体"/>
                <w:sz w:val="24"/>
                <w:szCs w:val="24"/>
              </w:rPr>
              <w:t xml:space="preserve">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803"/>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8</w:t>
            </w:r>
            <w:r/>
          </w:p>
        </w:tc>
        <w:tc>
          <w:tcPr>
            <w:tcW w:w="7564" w:type="dxa"/>
            <w:vAlign w:val="center"/>
            <w:textDirection w:val="lrTb"/>
            <w:noWrap w:val="false"/>
          </w:tcPr>
          <w:p>
            <w:pPr>
              <w:spacing w:line="276" w:lineRule="auto"/>
              <w:rPr>
                <w:rFonts w:hint="eastAsia" w:ascii="宋体" w:hAnsi="宋体" w:eastAsia="宋体"/>
                <w:sz w:val="24"/>
                <w:szCs w:val="24"/>
              </w:rPr>
            </w:pPr>
            <w:r>
              <w:rPr>
                <w:rFonts w:hint="eastAsia" w:ascii="宋体" w:hAnsi="宋体" w:eastAsia="宋体"/>
                <w:sz w:val="24"/>
                <w:szCs w:val="24"/>
              </w:rPr>
              <w:t xml:space="preserve">响应文件：应使用</w:t>
            </w:r>
            <w:r>
              <w:rPr>
                <w:rFonts w:hint="eastAsia" w:ascii="宋体" w:hAnsi="宋体" w:eastAsia="宋体" w:cs="宋体"/>
                <w:sz w:val="24"/>
                <w:szCs w:val="24"/>
              </w:rPr>
              <w:t xml:space="preserve">“苏采云”系统</w:t>
            </w:r>
            <w:r>
              <w:rPr>
                <w:rFonts w:hint="eastAsia" w:ascii="宋体" w:hAnsi="宋体" w:eastAsia="宋体"/>
                <w:sz w:val="24"/>
                <w:szCs w:val="24"/>
              </w:rPr>
              <w:t xml:space="preserve">制作并提交电子版响应文件，未按要求线上递交电子响应文件将被拒收。</w:t>
            </w:r>
            <w:r/>
          </w:p>
        </w:tc>
      </w:tr>
      <w:tr>
        <w:trPr>
          <w:trHeight w:val="2151"/>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9</w:t>
            </w:r>
            <w:r/>
          </w:p>
        </w:tc>
        <w:tc>
          <w:tcPr>
            <w:tcW w:w="7564" w:type="dxa"/>
            <w:vAlign w:val="center"/>
            <w:textDirection w:val="lrTb"/>
            <w:noWrap w:val="false"/>
          </w:tcPr>
          <w:p>
            <w:pPr>
              <w:spacing w:line="276" w:lineRule="auto"/>
              <w:widowControl/>
              <w:rPr>
                <w:rFonts w:hint="eastAsia" w:ascii="宋体" w:hAnsi="宋体" w:eastAsia="宋体"/>
                <w:sz w:val="24"/>
                <w:szCs w:val="24"/>
              </w:rPr>
            </w:pPr>
            <w:r>
              <w:rPr>
                <w:rFonts w:hint="eastAsia" w:ascii="宋体" w:hAnsi="宋体" w:eastAsia="宋体"/>
                <w:sz w:val="24"/>
                <w:szCs w:val="24"/>
              </w:rPr>
              <w:t xml:space="preserve">电子响应文件上传截止时间：2026年04月</w:t>
            </w:r>
            <w:r>
              <w:rPr>
                <w:rFonts w:hint="eastAsia" w:ascii="宋体" w:hAnsi="宋体" w:eastAsia="宋体"/>
                <w:sz w:val="24"/>
                <w:szCs w:val="24"/>
                <w:lang w:val="en-US" w:eastAsia="zh-CN"/>
              </w:rPr>
              <w:t xml:space="preserve">28</w:t>
            </w:r>
            <w:r>
              <w:rPr>
                <w:rFonts w:hint="eastAsia" w:ascii="宋体" w:hAnsi="宋体" w:eastAsia="宋体"/>
                <w:sz w:val="24"/>
                <w:szCs w:val="24"/>
              </w:rPr>
              <w:t xml:space="preserve">日09:30（北京时间）</w:t>
            </w:r>
            <w:r/>
          </w:p>
          <w:p>
            <w:pPr>
              <w:spacing w:line="276" w:lineRule="auto"/>
              <w:widowControl/>
              <w:rPr>
                <w:rFonts w:hint="eastAsia" w:ascii="宋体" w:hAnsi="宋体" w:eastAsia="宋体"/>
                <w:sz w:val="24"/>
                <w:szCs w:val="24"/>
              </w:rPr>
            </w:pPr>
            <w:r>
              <w:rPr>
                <w:rFonts w:hint="eastAsia" w:ascii="宋体" w:hAnsi="宋体" w:eastAsia="宋体"/>
                <w:sz w:val="24"/>
                <w:szCs w:val="24"/>
              </w:rPr>
              <w:t xml:space="preserve">上传地点：</w:t>
            </w:r>
            <w:r>
              <w:rPr>
                <w:rFonts w:hint="eastAsia" w:ascii="宋体" w:hAnsi="宋体" w:eastAsia="宋体"/>
                <w:bCs/>
                <w:sz w:val="24"/>
                <w:szCs w:val="24"/>
              </w:rPr>
              <w:t xml:space="preserve">苏采云政府采购一体化平台</w:t>
            </w:r>
            <w:r/>
          </w:p>
          <w:p>
            <w:pPr>
              <w:spacing w:line="401" w:lineRule="atLeast"/>
              <w:widowControl/>
              <w:rPr>
                <w:rFonts w:hint="eastAsia" w:ascii="宋体" w:hAnsi="宋体" w:eastAsia="宋体" w:cs="宋体"/>
                <w:sz w:val="18"/>
                <w:szCs w:val="18"/>
              </w:rPr>
            </w:pPr>
            <w:r>
              <w:rPr>
                <w:rFonts w:hint="eastAsia" w:ascii="宋体" w:hAnsi="宋体" w:eastAsia="宋体"/>
                <w:sz w:val="24"/>
                <w:szCs w:val="24"/>
                <w:lang w:val="zh-CN"/>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10</w:t>
            </w:r>
            <w:r/>
          </w:p>
        </w:tc>
        <w:tc>
          <w:tcPr>
            <w:tcW w:w="7564" w:type="dxa"/>
            <w:vAlign w:val="center"/>
            <w:textDirection w:val="lrTb"/>
            <w:noWrap w:val="false"/>
          </w:tcPr>
          <w:p>
            <w:pPr>
              <w:spacing w:line="360" w:lineRule="auto"/>
              <w:widowControl/>
              <w:tabs>
                <w:tab w:val="left" w:pos="1200" w:leader="none"/>
              </w:tabs>
              <w:rPr>
                <w:rFonts w:hint="eastAsia" w:ascii="宋体" w:hAnsi="宋体" w:eastAsia="宋体"/>
                <w:szCs w:val="24"/>
              </w:rPr>
            </w:pPr>
            <w:r>
              <w:rPr>
                <w:rFonts w:hint="eastAsia" w:ascii="宋体" w:hAnsi="宋体" w:eastAsia="宋体"/>
                <w:sz w:val="24"/>
              </w:rPr>
              <w:t xml:space="preserve">询问：</w:t>
            </w:r>
            <w:r>
              <w:rPr>
                <w:rFonts w:hint="eastAsia" w:ascii="宋体" w:hAnsi="宋体" w:eastAsia="宋体"/>
                <w:sz w:val="24"/>
                <w:szCs w:val="24"/>
              </w:rPr>
              <w:t xml:space="preserve">获取磋商文件成功的磋商供应商在下载磋商文件后，对磋商文件有疑问的，可通过邮件（410887570@qq.com）进行询问。采购代理机构通过邮件予以解答，询问人自行在邮件中查看解答信息</w:t>
            </w:r>
            <w:r>
              <w:rPr>
                <w:rFonts w:hint="eastAsia" w:asciiTheme="minorEastAsia" w:hAnsiTheme="minorEastAsia" w:eastAsiaTheme="minorEastAsia"/>
                <w:sz w:val="24"/>
                <w:szCs w:val="24"/>
              </w:rPr>
              <w:t xml:space="preserve">。</w:t>
            </w:r>
            <w:r/>
          </w:p>
        </w:tc>
      </w:tr>
      <w:tr>
        <w:trPr>
          <w:trHeight w:val="219"/>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11</w:t>
            </w:r>
            <w:r/>
          </w:p>
        </w:tc>
        <w:tc>
          <w:tcPr>
            <w:tcW w:w="7564" w:type="dxa"/>
            <w:vAlign w:val="center"/>
            <w:textDirection w:val="lrTb"/>
            <w:noWrap w:val="false"/>
          </w:tcPr>
          <w:p>
            <w:pPr>
              <w:spacing w:line="360" w:lineRule="auto"/>
              <w:rPr>
                <w:rFonts w:hint="eastAsia" w:asciiTheme="minorEastAsia" w:hAnsiTheme="minorEastAsia" w:eastAsiaTheme="minorEastAsia"/>
                <w:bCs/>
                <w:sz w:val="24"/>
                <w:szCs w:val="24"/>
                <w:lang w:val="zh-CN"/>
              </w:rPr>
            </w:pPr>
            <w:r>
              <w:rPr>
                <w:rFonts w:asciiTheme="minorEastAsia" w:hAnsiTheme="minorEastAsia" w:eastAsiaTheme="minorEastAsia"/>
                <w:bCs/>
                <w:sz w:val="24"/>
                <w:szCs w:val="24"/>
                <w:lang w:val="zh-CN"/>
              </w:rPr>
              <w:t xml:space="preserve">质疑</w:t>
            </w:r>
            <w:r>
              <w:rPr>
                <w:rFonts w:hint="eastAsia" w:asciiTheme="minorEastAsia" w:hAnsiTheme="minorEastAsia" w:eastAsiaTheme="minorEastAsia"/>
                <w:bCs/>
                <w:sz w:val="24"/>
                <w:szCs w:val="24"/>
                <w:lang w:val="zh-CN"/>
              </w:rPr>
              <w:t xml:space="preserve">：</w:t>
            </w:r>
            <w:r/>
          </w:p>
          <w:p>
            <w:pPr>
              <w:ind w:firstLine="600"/>
              <w:jc w:val="left"/>
              <w:spacing w:line="276"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磋商供应商</w:t>
            </w:r>
            <w:r>
              <w:rPr>
                <w:rFonts w:asciiTheme="minorEastAsia" w:hAnsiTheme="minorEastAsia" w:eastAsiaTheme="minorEastAsia"/>
                <w:sz w:val="24"/>
                <w:szCs w:val="24"/>
              </w:rPr>
              <w:t xml:space="preserve">认为本采购文件条款使自己的权益受到损害的，应在知道或者应知权益受到损害之日起七个工作日内，以书面形式向</w:t>
            </w:r>
            <w:r>
              <w:rPr>
                <w:rFonts w:hint="eastAsia" w:asciiTheme="minorEastAsia" w:hAnsiTheme="minorEastAsia" w:eastAsiaTheme="minorEastAsia"/>
                <w:sz w:val="24"/>
                <w:szCs w:val="24"/>
              </w:rPr>
              <w:t xml:space="preserve">采购单位</w:t>
            </w:r>
            <w:r>
              <w:rPr>
                <w:rFonts w:asciiTheme="minorEastAsia" w:hAnsiTheme="minorEastAsia" w:eastAsiaTheme="minorEastAsia"/>
                <w:sz w:val="24"/>
                <w:szCs w:val="24"/>
              </w:rPr>
              <w:t xml:space="preserve">提出质疑。采购人应当在收到</w:t>
            </w:r>
            <w:r>
              <w:rPr>
                <w:rFonts w:hint="eastAsia" w:asciiTheme="minorEastAsia" w:hAnsiTheme="minorEastAsia" w:eastAsiaTheme="minorEastAsia"/>
                <w:sz w:val="24"/>
                <w:szCs w:val="24"/>
              </w:rPr>
              <w:t xml:space="preserve">磋商供应商</w:t>
            </w:r>
            <w:r>
              <w:rPr>
                <w:rFonts w:asciiTheme="minorEastAsia" w:hAnsiTheme="minorEastAsia" w:eastAsiaTheme="minorEastAsia"/>
                <w:sz w:val="24"/>
                <w:szCs w:val="24"/>
              </w:rPr>
              <w:t xml:space="preserve">书面质疑后七个工作日内作出答复。</w:t>
            </w:r>
            <w:r>
              <w:rPr>
                <w:rFonts w:hint="eastAsia" w:ascii="宋体" w:hAnsi="宋体" w:eastAsia="宋体" w:cs="宋体"/>
                <w:sz w:val="24"/>
                <w:szCs w:val="24"/>
                <w:lang w:val="zh-CN"/>
              </w:rPr>
              <w:t xml:space="preserve">质疑应符合政府采购质疑和投诉办法(中华人民共和国财</w:t>
            </w:r>
            <w:r>
              <w:rPr>
                <w:rFonts w:hint="eastAsia" w:asciiTheme="minorEastAsia" w:hAnsiTheme="minorEastAsia" w:eastAsiaTheme="minorEastAsia"/>
                <w:sz w:val="24"/>
                <w:szCs w:val="24"/>
                <w:lang w:val="zh-CN"/>
              </w:rPr>
              <w:t xml:space="preserve">政部令第94号)。</w:t>
            </w:r>
            <w:r/>
          </w:p>
          <w:p>
            <w:pPr>
              <w:ind w:firstLine="600"/>
              <w:jc w:val="left"/>
              <w:spacing w:line="276" w:lineRule="auto"/>
              <w:rPr>
                <w:rFonts w:hint="eastAsia"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未依照</w:t>
            </w:r>
            <w:r>
              <w:rPr>
                <w:rFonts w:hint="eastAsia" w:asciiTheme="minorEastAsia" w:hAnsiTheme="minorEastAsia" w:eastAsiaTheme="minorEastAsia"/>
                <w:sz w:val="24"/>
                <w:szCs w:val="24"/>
                <w:lang w:val="zh-CN"/>
              </w:rPr>
              <w:t xml:space="preserve">磋商</w:t>
            </w:r>
            <w:r>
              <w:rPr>
                <w:rFonts w:asciiTheme="minorEastAsia" w:hAnsiTheme="minorEastAsia" w:eastAsiaTheme="minorEastAsia"/>
                <w:sz w:val="24"/>
                <w:szCs w:val="24"/>
                <w:lang w:val="zh-CN"/>
              </w:rPr>
              <w:t xml:space="preserve">公告要求依法获取</w:t>
            </w:r>
            <w:r>
              <w:rPr>
                <w:rFonts w:hint="eastAsia" w:asciiTheme="minorEastAsia" w:hAnsiTheme="minorEastAsia" w:eastAsiaTheme="minorEastAsia"/>
                <w:sz w:val="24"/>
                <w:szCs w:val="24"/>
                <w:lang w:val="zh-CN"/>
              </w:rPr>
              <w:t xml:space="preserve">磋商</w:t>
            </w:r>
            <w:r>
              <w:rPr>
                <w:rFonts w:asciiTheme="minorEastAsia" w:hAnsiTheme="minorEastAsia" w:eastAsiaTheme="minorEastAsia"/>
                <w:sz w:val="24"/>
                <w:szCs w:val="24"/>
                <w:lang w:val="zh-CN"/>
              </w:rPr>
              <w:t xml:space="preserve">文件的</w:t>
            </w:r>
            <w:r>
              <w:rPr>
                <w:rFonts w:hint="eastAsia" w:asciiTheme="minorEastAsia" w:hAnsiTheme="minorEastAsia" w:eastAsiaTheme="minorEastAsia"/>
                <w:sz w:val="24"/>
                <w:szCs w:val="24"/>
                <w:lang w:val="zh-CN"/>
              </w:rPr>
              <w:t xml:space="preserve">供应商</w:t>
            </w:r>
            <w:r>
              <w:rPr>
                <w:rFonts w:asciiTheme="minorEastAsia" w:hAnsiTheme="minorEastAsia" w:eastAsiaTheme="minorEastAsia"/>
                <w:sz w:val="24"/>
                <w:szCs w:val="24"/>
                <w:lang w:val="zh-CN"/>
              </w:rPr>
              <w:t xml:space="preserve">，视为未参加该项政府采购活动，不具备对该政府采购项目提出质疑的法定权利。</w:t>
            </w:r>
            <w:r/>
          </w:p>
          <w:p>
            <w:pPr>
              <w:ind w:firstLine="600"/>
              <w:jc w:val="left"/>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接受质疑函的方式：当场送达或邮寄方式。</w:t>
            </w:r>
            <w:r/>
          </w:p>
        </w:tc>
      </w:tr>
      <w:tr>
        <w:trPr>
          <w:trHeight w:val="1131"/>
        </w:trPr>
        <w:tc>
          <w:tcPr>
            <w:tcW w:w="1083" w:type="dxa"/>
            <w:vAlign w:val="center"/>
            <w:textDirection w:val="lrTb"/>
            <w:noWrap w:val="false"/>
          </w:tcPr>
          <w:p>
            <w:pPr>
              <w:jc w:val="center"/>
              <w:spacing w:line="276" w:lineRule="auto"/>
              <w:rPr>
                <w:rFonts w:hint="eastAsia" w:ascii="宋体" w:hAnsi="宋体" w:eastAsia="宋体"/>
                <w:sz w:val="24"/>
                <w:szCs w:val="24"/>
              </w:rPr>
            </w:pPr>
            <w:r>
              <w:rPr>
                <w:rFonts w:hint="eastAsia" w:ascii="宋体" w:hAnsi="宋体" w:eastAsia="宋体"/>
                <w:sz w:val="24"/>
                <w:szCs w:val="24"/>
              </w:rPr>
              <w:t xml:space="preserve">12</w:t>
            </w:r>
            <w:r/>
          </w:p>
        </w:tc>
        <w:tc>
          <w:tcPr>
            <w:tcW w:w="7564" w:type="dxa"/>
            <w:vAlign w:val="center"/>
            <w:textDirection w:val="lrTb"/>
            <w:noWrap w:val="false"/>
          </w:tcPr>
          <w:p>
            <w:pPr>
              <w:pStyle w:val="661"/>
              <w:ind w:firstLine="240"/>
              <w:jc w:val="both"/>
              <w:spacing w:line="348" w:lineRule="auto"/>
              <w:rPr>
                <w:rFonts w:hint="eastAsia" w:ascii="宋体" w:hAnsi="宋体" w:eastAsia="宋体"/>
                <w:szCs w:val="24"/>
              </w:rPr>
            </w:pPr>
            <w:r>
              <w:rPr>
                <w:rFonts w:hint="eastAsia" w:ascii="宋体" w:hAnsi="宋体" w:eastAsia="宋体"/>
                <w:szCs w:val="24"/>
              </w:rPr>
              <w:t xml:space="preserve">代理服务费收费标准，由成交供应商在领取成交通知书时付清：</w:t>
            </w:r>
            <w:r/>
          </w:p>
          <w:p>
            <w:pPr>
              <w:spacing w:line="276" w:lineRule="auto"/>
              <w:rPr>
                <w:rFonts w:hint="eastAsia" w:ascii="宋体" w:hAnsi="宋体" w:eastAsia="宋体"/>
                <w:sz w:val="24"/>
                <w:szCs w:val="24"/>
              </w:rPr>
            </w:pPr>
            <w:r>
              <w:rPr>
                <w:rFonts w:hint="eastAsia" w:ascii="宋体" w:hAnsi="宋体" w:eastAsia="宋体"/>
                <w:sz w:val="24"/>
                <w:szCs w:val="24"/>
              </w:rPr>
              <w:t xml:space="preserve">预算金额100万元以下部分，费率为该部分预算金额的1.5%；</w:t>
            </w:r>
            <w:r/>
          </w:p>
          <w:p>
            <w:pPr>
              <w:spacing w:line="276" w:lineRule="auto"/>
              <w:rPr>
                <w:rFonts w:hint="eastAsia" w:ascii="宋体" w:hAnsi="宋体" w:eastAsia="宋体"/>
                <w:sz w:val="24"/>
                <w:szCs w:val="24"/>
              </w:rPr>
            </w:pPr>
            <w:r>
              <w:rPr>
                <w:rFonts w:hint="eastAsia" w:ascii="宋体" w:hAnsi="宋体" w:eastAsia="宋体"/>
                <w:sz w:val="24"/>
                <w:szCs w:val="24"/>
              </w:rPr>
              <w:t xml:space="preserve">预算金额100万元（含）－500万元部分，费率为该部分预算金额的1.1%；</w:t>
            </w:r>
            <w:r/>
          </w:p>
          <w:p>
            <w:pPr>
              <w:ind w:firstLine="480"/>
              <w:spacing w:line="276" w:lineRule="auto"/>
              <w:rPr>
                <w:rFonts w:hint="eastAsia" w:ascii="宋体" w:hAnsi="宋体" w:eastAsia="宋体"/>
                <w:sz w:val="24"/>
                <w:szCs w:val="24"/>
              </w:rPr>
            </w:pPr>
            <w:r>
              <w:rPr>
                <w:rFonts w:hint="eastAsia" w:ascii="宋体" w:hAnsi="宋体" w:eastAsia="宋体"/>
                <w:sz w:val="24"/>
                <w:szCs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pStyle w:val="694"/>
              <w:ind w:firstLine="480"/>
              <w:jc w:val="both"/>
              <w:rPr>
                <w:rFonts w:eastAsia="宋体"/>
                <w:lang w:eastAsia="zh-CN"/>
              </w:rPr>
            </w:pPr>
            <w:r>
              <w:rPr>
                <w:rFonts w:hint="eastAsia" w:ascii="宋体" w:hAnsi="宋体" w:eastAsia="宋体"/>
                <w:sz w:val="24"/>
                <w:szCs w:val="24"/>
                <w:lang w:eastAsia="zh-CN"/>
              </w:rPr>
              <w:t xml:space="preserve">代理服务费：20060.00元</w:t>
            </w:r>
            <w:r/>
          </w:p>
        </w:tc>
      </w:tr>
      <w:tr>
        <w:trPr>
          <w:trHeight w:val="483"/>
        </w:trPr>
        <w:tc>
          <w:tcPr>
            <w:tcW w:w="108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sz w:val="24"/>
                <w:szCs w:val="24"/>
              </w:rPr>
              <w:t xml:space="preserve">13</w:t>
            </w:r>
            <w:r/>
          </w:p>
        </w:tc>
        <w:tc>
          <w:tcPr>
            <w:tcW w:w="756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中标原则：综合评分法</w:t>
            </w:r>
            <w:r/>
          </w:p>
        </w:tc>
      </w:tr>
      <w:tr>
        <w:trPr>
          <w:trHeight w:val="565"/>
        </w:trPr>
        <w:tc>
          <w:tcPr>
            <w:tcW w:w="1083"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sz w:val="24"/>
                <w:szCs w:val="24"/>
              </w:rPr>
              <w:t xml:space="preserve">14</w:t>
            </w:r>
            <w:r/>
          </w:p>
        </w:tc>
        <w:tc>
          <w:tcPr>
            <w:tcW w:w="756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评审办法：详见第六章</w:t>
            </w:r>
            <w:r/>
          </w:p>
        </w:tc>
      </w:tr>
      <w:tr>
        <w:trPr>
          <w:trHeight w:val="565"/>
        </w:trPr>
        <w:tc>
          <w:tcPr>
            <w:tcW w:w="1083"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15</w:t>
            </w:r>
            <w:r/>
          </w:p>
        </w:tc>
        <w:tc>
          <w:tcPr>
            <w:tcW w:w="7564" w:type="dxa"/>
            <w:vAlign w:val="center"/>
            <w:textDirection w:val="lrTb"/>
            <w:noWrap w:val="false"/>
          </w:tcPr>
          <w:p>
            <w:pPr>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特别提醒：</w:t>
            </w:r>
            <w:r/>
          </w:p>
          <w:p>
            <w:pPr>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1、本项目支持网上不见面开标，供应商不需到现场参加磋商会。</w:t>
            </w:r>
            <w:r/>
          </w:p>
          <w:p>
            <w:pPr>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jc w:val="left"/>
              <w:spacing w:line="360" w:lineRule="auto"/>
              <w:rPr>
                <w:rFonts w:hint="eastAsia" w:ascii="宋体" w:hAnsi="宋体" w:eastAsia="宋体"/>
                <w:sz w:val="24"/>
                <w:szCs w:val="24"/>
              </w:rPr>
            </w:pPr>
            <w:r>
              <w:rPr>
                <w:rFonts w:hint="eastAsia" w:ascii="宋体" w:hAnsi="宋体" w:eastAsia="宋体"/>
                <w:b/>
                <w:bCs/>
                <w:sz w:val="24"/>
                <w:szCs w:val="24"/>
              </w:rPr>
              <w:t xml:space="preserve">3、请供应商确保电脑、系统及其他设备（视频输入输出设备等）无误，且开标直至项目结束始终保持系统在线状态。</w:t>
            </w:r>
            <w:r/>
          </w:p>
        </w:tc>
      </w:tr>
    </w:tbl>
    <w:p>
      <w:pPr>
        <w:pStyle w:val="661"/>
        <w:ind w:firstLine="522"/>
        <w:jc w:val="center"/>
        <w:rPr>
          <w:rFonts w:hint="eastAsia" w:ascii="宋体" w:hAnsi="宋体" w:eastAsia="宋体"/>
          <w:b/>
          <w:sz w:val="52"/>
        </w:rPr>
      </w:pPr>
      <w:r>
        <w:rPr>
          <w:rFonts w:hint="eastAsia" w:ascii="宋体" w:hAnsi="宋体" w:eastAsia="宋体"/>
          <w:b/>
          <w:sz w:val="52"/>
        </w:rPr>
      </w:r>
      <w:r/>
    </w:p>
    <w:p>
      <w:pPr>
        <w:pStyle w:val="696"/>
        <w:rPr>
          <w:color w:val="auto"/>
        </w:rPr>
      </w:pPr>
      <w:r>
        <w:rPr>
          <w:color w:val="auto"/>
        </w:rPr>
      </w:r>
      <w:r/>
    </w:p>
    <w:p>
      <w:pPr>
        <w:ind w:firstLine="260"/>
        <w:rPr>
          <w:rFonts w:hint="eastAsia" w:ascii="宋体" w:hAnsi="宋体" w:eastAsia="宋体"/>
        </w:rPr>
      </w:pPr>
      <w:r>
        <w:rPr>
          <w:rFonts w:hint="eastAsia" w:ascii="宋体" w:hAnsi="宋体" w:eastAsia="宋体"/>
        </w:rPr>
      </w:r>
      <w:r/>
    </w:p>
    <w:p>
      <w:pPr>
        <w:ind w:firstLine="260"/>
        <w:rPr>
          <w:rFonts w:hint="eastAsia" w:ascii="宋体" w:hAnsi="宋体" w:eastAsia="宋体"/>
        </w:rPr>
      </w:pPr>
      <w:r>
        <w:rPr>
          <w:rFonts w:hint="eastAsia" w:ascii="宋体" w:hAnsi="宋体" w:eastAsia="宋体"/>
        </w:rPr>
      </w:r>
      <w:r/>
    </w:p>
    <w:p>
      <w:pPr>
        <w:ind w:firstLine="260"/>
        <w:rPr>
          <w:rFonts w:hint="eastAsia" w:ascii="宋体" w:hAnsi="宋体" w:eastAsia="宋体"/>
        </w:rPr>
      </w:pPr>
      <w:r>
        <w:rPr>
          <w:rFonts w:hint="eastAsia" w:ascii="宋体" w:hAnsi="宋体" w:eastAsia="宋体"/>
        </w:rPr>
      </w:r>
      <w:r/>
    </w:p>
    <w:p>
      <w:pPr>
        <w:ind w:firstLine="26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53"/>
        <w:ind w:firstLine="522"/>
        <w:jc w:val="center"/>
        <w:rPr>
          <w:rFonts w:hint="eastAsia" w:ascii="宋体" w:hAnsi="宋体" w:eastAsia="宋体"/>
          <w:sz w:val="52"/>
        </w:rPr>
      </w:pPr>
      <w:r/>
      <w:bookmarkStart w:id="1" w:name="_Toc291668807"/>
      <w:r/>
      <w:bookmarkStart w:id="2" w:name="_Toc32645"/>
      <w:r>
        <w:rPr>
          <w:rFonts w:hint="eastAsia" w:ascii="宋体" w:hAnsi="宋体" w:eastAsia="宋体"/>
          <w:sz w:val="52"/>
        </w:rPr>
        <w:t xml:space="preserve">第一章  竞争性磋商</w:t>
      </w:r>
      <w:bookmarkEnd w:id="1"/>
      <w:r>
        <w:rPr>
          <w:rFonts w:hint="eastAsia" w:ascii="宋体" w:hAnsi="宋体" w:eastAsia="宋体"/>
          <w:sz w:val="52"/>
        </w:rPr>
        <w:t xml:space="preserve">公告</w:t>
      </w:r>
      <w:bookmarkEnd w:id="2"/>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260"/>
        <w:spacing w:line="360" w:lineRule="auto"/>
        <w:rPr>
          <w:rFonts w:hint="eastAsia" w:ascii="宋体" w:hAnsi="宋体" w:eastAsia="宋体"/>
        </w:rPr>
      </w:pPr>
      <w:r>
        <w:rPr>
          <w:rFonts w:hint="eastAsia" w:ascii="宋体" w:hAnsi="宋体" w:eastAsia="宋体"/>
        </w:rPr>
      </w:r>
      <w:r/>
    </w:p>
    <w:p>
      <w:pPr>
        <w:ind w:firstLine="643"/>
        <w:jc w:val="center"/>
        <w:spacing w:line="360" w:lineRule="auto"/>
        <w:rPr>
          <w:rFonts w:hint="eastAsia" w:ascii="宋体" w:hAnsi="宋体" w:eastAsia="宋体"/>
          <w:b/>
          <w:sz w:val="32"/>
        </w:rPr>
        <w:outlineLvl w:val="0"/>
      </w:pPr>
      <w:r>
        <w:rPr>
          <w:rFonts w:hint="eastAsia" w:ascii="宋体" w:hAnsi="宋体" w:eastAsia="宋体"/>
          <w:b/>
          <w:sz w:val="32"/>
        </w:rPr>
        <w:t xml:space="preserve">一、竞争性磋商公告</w:t>
      </w:r>
      <w:r/>
    </w:p>
    <w:p>
      <w:pPr>
        <w:ind w:firstLine="480"/>
        <w:spacing w:line="360" w:lineRule="auto"/>
        <w:rPr>
          <w:rFonts w:hint="eastAsia" w:ascii="宋体" w:hAnsi="宋体" w:eastAsia="宋体"/>
          <w:sz w:val="24"/>
          <w:u w:val="single"/>
        </w:rPr>
      </w:pPr>
      <w:r/>
      <w:bookmarkStart w:id="3" w:name="_Toc35393629"/>
      <w:r/>
      <w:bookmarkStart w:id="4" w:name="_Toc35393798"/>
      <w:r/>
      <w:bookmarkStart w:id="5" w:name="_Toc28359089"/>
      <w:r/>
      <w:bookmarkStart w:id="6" w:name="_Toc28359012"/>
      <w:r/>
      <w:bookmarkStart w:id="7" w:name="_Toc291668808"/>
      <w:r>
        <w:rPr>
          <w:rFonts w:hint="eastAsia" w:asciiTheme="minorEastAsia" w:hAnsiTheme="minorEastAsia" w:eastAsiaTheme="minorEastAsia"/>
          <w:bCs/>
          <w:sz w:val="24"/>
          <w:szCs w:val="24"/>
        </w:rPr>
        <w:t xml:space="preserve">项目概况</w:t>
      </w:r>
      <w:r/>
    </w:p>
    <w:p>
      <w:pPr>
        <w:ind w:firstLine="480"/>
        <w:spacing w:line="360" w:lineRule="auto"/>
        <w:rPr>
          <w:rFonts w:hint="eastAsia" w:eastAsia="宋体" w:asciiTheme="minorEastAsia" w:hAnsiTheme="minorEastAsia"/>
          <w:sz w:val="24"/>
          <w:szCs w:val="24"/>
        </w:rPr>
      </w:pPr>
      <w:r>
        <w:rPr>
          <w:rFonts w:hint="eastAsia" w:ascii="宋体" w:hAnsi="宋体" w:eastAsia="宋体"/>
          <w:sz w:val="24"/>
          <w:u w:val="single"/>
        </w:rPr>
        <w:t xml:space="preserve">苏州图书馆（人民路馆、北馆）10kv变电所智能运维管理项目</w:t>
      </w:r>
      <w:r>
        <w:rPr>
          <w:rFonts w:hint="eastAsia" w:ascii="宋体" w:hAnsi="宋体" w:eastAsia="宋体"/>
          <w:sz w:val="24"/>
          <w:szCs w:val="24"/>
        </w:rPr>
        <w:t xml:space="preserve">的潜在磋商供应商应在</w:t>
      </w:r>
      <w:r>
        <w:rPr>
          <w:rFonts w:hint="eastAsia" w:ascii="宋体" w:hAnsi="宋体" w:eastAsia="宋体"/>
          <w:bCs/>
          <w:sz w:val="24"/>
          <w:szCs w:val="24"/>
        </w:rPr>
        <w:t xml:space="preserve">“苏采云政府采购一体化平台”自行免费下载磋</w:t>
      </w:r>
      <w:r>
        <w:rPr>
          <w:rFonts w:hint="eastAsia" w:ascii="宋体" w:hAnsi="宋体" w:eastAsia="宋体" w:cs="宋体"/>
          <w:sz w:val="24"/>
          <w:szCs w:val="24"/>
        </w:rPr>
        <w:t xml:space="preserve">商文件</w:t>
      </w:r>
      <w:r>
        <w:rPr>
          <w:rFonts w:hint="eastAsia" w:ascii="宋体" w:hAnsi="宋体" w:eastAsia="宋体"/>
          <w:bCs/>
          <w:sz w:val="24"/>
          <w:szCs w:val="24"/>
        </w:rPr>
        <w:t xml:space="preserve">，</w:t>
      </w:r>
      <w:r>
        <w:rPr>
          <w:rFonts w:hint="eastAsia" w:ascii="宋体" w:hAnsi="宋体" w:eastAsia="宋体"/>
          <w:sz w:val="24"/>
          <w:szCs w:val="24"/>
        </w:rPr>
        <w:t xml:space="preserve">并于</w:t>
      </w:r>
      <w:r>
        <w:rPr>
          <w:rFonts w:hint="eastAsia" w:ascii="宋体" w:hAnsi="宋体" w:eastAsia="宋体" w:cs="宋体"/>
          <w:sz w:val="24"/>
          <w:szCs w:val="24"/>
        </w:rPr>
        <w:t xml:space="preserve">2026年04月</w:t>
      </w: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日09</w:t>
      </w:r>
      <w:r>
        <w:rPr>
          <w:rFonts w:hint="eastAsia" w:ascii="宋体" w:hAnsi="宋体" w:eastAsia="宋体"/>
          <w:sz w:val="24"/>
          <w:szCs w:val="24"/>
        </w:rPr>
        <w:t xml:space="preserve">点30分（北京时间）前提交响应文件。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一、项目基本情况</w:t>
      </w:r>
      <w:bookmarkEnd w:id="3"/>
      <w:r/>
      <w:bookmarkEnd w:id="4"/>
      <w:r/>
      <w:bookmarkEnd w:id="5"/>
      <w:r/>
      <w:bookmarkEnd w:id="6"/>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采购编号：JSZC-320500-XCXC-C2026-0003</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项目名称：苏州图书馆（人民路馆、北馆）10kv变电所智能运维管理项目</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采购方式：竞争性磋商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预算金额：人民币壹佰肆拾陆万元整（</w:t>
      </w:r>
      <w:r>
        <w:rPr>
          <w:rFonts w:ascii="Arial" w:hAnsi="Arial" w:cs="Arial" w:eastAsiaTheme="minorEastAsia"/>
          <w:sz w:val="24"/>
          <w:szCs w:val="24"/>
        </w:rPr>
        <w:t xml:space="preserve">¥</w:t>
      </w:r>
      <w:r>
        <w:rPr>
          <w:rFonts w:hint="eastAsia" w:asciiTheme="minorEastAsia" w:hAnsiTheme="minorEastAsia" w:eastAsiaTheme="minorEastAsia"/>
          <w:sz w:val="24"/>
          <w:szCs w:val="24"/>
        </w:rPr>
        <w:t xml:space="preserve">1460000.00）</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r/>
    </w:p>
    <w:p>
      <w:pPr>
        <w:ind w:firstLine="480"/>
        <w:spacing w:line="360" w:lineRule="auto"/>
        <w:rPr>
          <w:rFonts w:hint="eastAsia" w:asciiTheme="minorEastAsia" w:hAnsiTheme="minorEastAsia" w:eastAsiaTheme="minorEastAsia"/>
          <w:sz w:val="24"/>
          <w:szCs w:val="24"/>
        </w:rPr>
      </w:pPr>
      <w:r>
        <w:rPr>
          <w:rFonts w:hint="eastAsia" w:ascii="宋体" w:hAnsi="宋体" w:eastAsia="宋体" w:cs="宋体"/>
          <w:sz w:val="24"/>
          <w:szCs w:val="24"/>
        </w:rPr>
        <w:t xml:space="preserve">变电所智能化线上服务：</w:t>
      </w:r>
      <w:r>
        <w:rPr>
          <w:rFonts w:hint="eastAsia" w:ascii="宋体" w:hAnsi="宋体" w:eastAsia="宋体" w:cs="宋体"/>
          <w:bCs/>
          <w:sz w:val="24"/>
          <w:szCs w:val="24"/>
        </w:rPr>
        <w:t xml:space="preserve">基于智能电力运维系统平台平台，对用户变电所进行远程实时监控、智能分析和在线运维。远程实时监控提供实时与历史的在线数据监控功能；智能分析提供包括数据、波形、故障预警、用电质量和能效的分析及报告；在线运维、实现在线报修，在线监控，故障分析，维修管理等服务功能。消除传统人工周期性巡检的盲区，提高变电所安全运行保障，帮助用户最终实现变电所“少人值班”或“无人值守”（详见采购文件第四章）</w:t>
      </w:r>
      <w:r>
        <w:rPr>
          <w:rFonts w:hint="eastAsia"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宋体" w:hAnsi="宋体" w:eastAsia="宋体" w:cs="宋体"/>
          <w:sz w:val="24"/>
          <w:szCs w:val="24"/>
        </w:rPr>
        <w:t xml:space="preserve">合同履行期限</w:t>
      </w:r>
      <w:r>
        <w:rPr>
          <w:rFonts w:hint="eastAsia" w:asciiTheme="minorEastAsia" w:hAnsiTheme="minorEastAsia" w:eastAsiaTheme="minorEastAsia"/>
          <w:sz w:val="24"/>
          <w:szCs w:val="24"/>
        </w:rPr>
        <w:t xml:space="preserve">：</w:t>
      </w:r>
      <w:bookmarkStart w:id="8" w:name="_Toc35393799"/>
      <w:r/>
      <w:bookmarkStart w:id="9" w:name="_Toc35393630"/>
      <w:r/>
      <w:bookmarkStart w:id="10" w:name="_Toc28359090"/>
      <w:r/>
      <w:bookmarkStart w:id="11" w:name="_Toc28359013"/>
      <w:r>
        <w:rPr>
          <w:rFonts w:hint="eastAsia" w:asciiTheme="minorEastAsia" w:hAnsiTheme="minorEastAsia" w:eastAsiaTheme="minorEastAsia"/>
          <w:sz w:val="24"/>
          <w:szCs w:val="24"/>
        </w:rPr>
        <w:t xml:space="preserve">2年，具体以甲方通知为准。</w:t>
      </w:r>
      <w:r/>
    </w:p>
    <w:p>
      <w:pPr>
        <w:ind w:firstLine="480"/>
        <w:spacing w:line="360" w:lineRule="auto"/>
        <w:rPr>
          <w:rFonts w:hint="eastAsia" w:asciiTheme="minorEastAsia" w:hAnsiTheme="minorEastAsia" w:eastAsiaTheme="minorEastAsia"/>
          <w:sz w:val="24"/>
          <w:szCs w:val="24"/>
        </w:rPr>
      </w:pPr>
      <w:r/>
      <w:bookmarkStart w:id="12" w:name="_Toc35393800"/>
      <w:r/>
      <w:bookmarkStart w:id="13" w:name="_Toc35393631"/>
      <w:r>
        <w:rPr>
          <w:rFonts w:hint="eastAsia" w:ascii="宋体" w:hAnsi="宋体" w:eastAsia="宋体" w:cs="宋体"/>
          <w:color w:val="000000"/>
          <w:sz w:val="24"/>
          <w:szCs w:val="24"/>
        </w:rPr>
        <w:t xml:space="preserve">本项目（是/否）接受联合体投标：否</w:t>
      </w:r>
      <w:r>
        <w:rPr>
          <w:rFonts w:hint="eastAsia" w:asciiTheme="minorEastAsia" w:hAnsiTheme="minorEastAsia" w:eastAsiaTheme="minorEastAsia"/>
          <w:sz w:val="24"/>
          <w:szCs w:val="24"/>
        </w:rPr>
        <w:t xml:space="preserve">。</w:t>
      </w:r>
      <w:bookmarkEnd w:id="12"/>
      <w:bookmarkEnd w:id="13"/>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二、申请人的资格要求：</w:t>
      </w:r>
      <w:bookmarkEnd w:id="8"/>
      <w:r/>
      <w:bookmarkEnd w:id="9"/>
      <w:r/>
      <w:bookmarkEnd w:id="10"/>
      <w:r/>
      <w:bookmarkEnd w:id="11"/>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1.满足《中华人民共和国政府采购法》第二十二条规定；</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具有</w:t>
      </w:r>
      <w:r>
        <w:rPr>
          <w:rFonts w:asciiTheme="minorEastAsia" w:hAnsiTheme="minorEastAsia" w:eastAsiaTheme="minorEastAsia"/>
          <w:sz w:val="24"/>
          <w:szCs w:val="24"/>
        </w:rPr>
        <w:t xml:space="preserve">独立承担民事责任</w:t>
      </w:r>
      <w:r>
        <w:rPr>
          <w:rFonts w:hint="eastAsia" w:asciiTheme="minorEastAsia" w:hAnsiTheme="minorEastAsia" w:eastAsiaTheme="minorEastAsia"/>
          <w:sz w:val="24"/>
          <w:szCs w:val="24"/>
        </w:rPr>
        <w:t xml:space="preserve">的能力；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具有良好的商业信誉和健全的财务会计制度；</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具有履行合同所必须的设备和专业技术能力；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具有依法缴纳税收和社会保障资金的良好记录；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参加政府采购活动前三年内，在经营活动中没有重大违法记录；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法律、行政法规规定的其他条件。</w:t>
      </w:r>
      <w:r/>
    </w:p>
    <w:p>
      <w:pPr>
        <w:numPr>
          <w:ilvl w:val="0"/>
          <w:numId w:val="2"/>
        </w:numPr>
        <w:ind w:firstLine="480"/>
        <w:spacing w:line="360" w:lineRule="auto"/>
        <w:rPr>
          <w:rFonts w:hint="eastAsia" w:asciiTheme="minorEastAsia" w:hAnsiTheme="minorEastAsia" w:eastAsiaTheme="minorEastAsia" w:cstheme="minorEastAsia"/>
          <w:b/>
          <w:bCs/>
          <w:sz w:val="24"/>
          <w:szCs w:val="24"/>
        </w:rPr>
      </w:pPr>
      <w:r/>
      <w:bookmarkStart w:id="14" w:name="_Toc28359014"/>
      <w:r/>
      <w:bookmarkStart w:id="15" w:name="_Toc28359091"/>
      <w:r>
        <w:rPr>
          <w:rFonts w:hint="eastAsia" w:asciiTheme="minorEastAsia" w:hAnsiTheme="minorEastAsia" w:eastAsiaTheme="minorEastAsia"/>
          <w:sz w:val="24"/>
          <w:szCs w:val="24"/>
        </w:rPr>
        <w:t xml:space="preserve">落实政府采购政策需满足的资格要求：</w:t>
      </w:r>
      <w:r>
        <w:rPr>
          <w:rFonts w:hint="eastAsia" w:asciiTheme="minorEastAsia" w:hAnsiTheme="minorEastAsia" w:eastAsiaTheme="minorEastAsia" w:cstheme="minorEastAsia"/>
          <w:b/>
          <w:bCs/>
          <w:sz w:val="24"/>
          <w:szCs w:val="24"/>
        </w:rPr>
        <w:t xml:space="preserve">本项目专门面向中小企业采购，所属行业为其他未列明行业，投标单位须为中小微企业或监狱企业或残疾人福利性单位。</w:t>
      </w:r>
      <w:r/>
    </w:p>
    <w:p>
      <w:pPr>
        <w:numPr>
          <w:ilvl w:val="0"/>
          <w:numId w:val="2"/>
        </w:numPr>
        <w:ind w:firstLine="480"/>
        <w:spacing w:line="360" w:lineRule="auto"/>
        <w:rPr>
          <w:rFonts w:hint="eastAsia" w:ascii="宋体" w:hAnsi="宋体" w:eastAsia="宋体" w:cs="宋体"/>
          <w:spacing w:val="-1"/>
          <w:sz w:val="24"/>
          <w:szCs w:val="24"/>
        </w:rPr>
      </w:pPr>
      <w:r>
        <w:rPr>
          <w:rFonts w:hint="eastAsia" w:ascii="宋体" w:hAnsi="宋体" w:eastAsia="宋体" w:cs="宋体"/>
          <w:sz w:val="24"/>
          <w:szCs w:val="24"/>
        </w:rPr>
        <w:t xml:space="preserve">合格磋商磋商响应单位的特殊条件：</w:t>
      </w:r>
      <w:r>
        <w:rPr>
          <w:rFonts w:hint="eastAsia" w:asciiTheme="minorEastAsia" w:hAnsiTheme="minorEastAsia" w:eastAsiaTheme="minorEastAsia"/>
          <w:sz w:val="24"/>
          <w:szCs w:val="24"/>
        </w:rPr>
        <w:t xml:space="preserve">具有有效期限内的承装（修、试）电力设施许可证（五级或五级以上）。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注：（1）根据政府采购法及相关法规，招标代理人将对供应商进行信用查询。对列入失信被执行人、重大税收违法案件当事人名单、政府采购严重违法失信行为记录名单的供应商，拒绝其参与政府采购活动；</w:t>
      </w:r>
      <w:r/>
    </w:p>
    <w:p>
      <w:pPr>
        <w:ind w:firstLine="9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（2）为采购项目提供整体设计、规范编制或者项目管理、监理、监测等服务的磋商供应商，不得再参加该采购项目的其他采购活动；</w:t>
      </w:r>
      <w:r/>
    </w:p>
    <w:p>
      <w:pPr>
        <w:ind w:firstLine="9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（3）单位负责人为同一人或者存在直接控股、管理关系的不同磋商供应商，不得参加同一合同项下的政府采购活动。</w:t>
      </w:r>
      <w:bookmarkEnd w:id="14"/>
      <w:bookmarkEnd w:id="15"/>
      <w:r/>
    </w:p>
    <w:p>
      <w:pPr>
        <w:spacing w:line="360" w:lineRule="auto"/>
        <w:rPr>
          <w:rFonts w:hint="eastAsia" w:ascii="宋体" w:hAnsi="宋体" w:eastAsia="宋体"/>
          <w:b/>
          <w:color w:val="000000"/>
          <w:sz w:val="24"/>
          <w:szCs w:val="24"/>
        </w:rPr>
      </w:pPr>
      <w:r/>
      <w:bookmarkStart w:id="16" w:name="_Toc28359018"/>
      <w:r/>
      <w:bookmarkStart w:id="17" w:name="_Toc35393636"/>
      <w:r/>
      <w:bookmarkStart w:id="18" w:name="_Toc28359095"/>
      <w:r/>
      <w:bookmarkStart w:id="19" w:name="_Toc35393805"/>
      <w:r>
        <w:rPr>
          <w:rFonts w:hint="eastAsia" w:ascii="宋体" w:hAnsi="宋体" w:eastAsia="宋体"/>
          <w:b/>
          <w:color w:val="000000"/>
          <w:sz w:val="24"/>
          <w:szCs w:val="24"/>
        </w:rPr>
        <w:t xml:space="preserve">三、获取采购文件</w:t>
      </w:r>
      <w:r/>
    </w:p>
    <w:p>
      <w:pPr>
        <w:pStyle w:val="679"/>
        <w:ind w:firstLine="480"/>
        <w:spacing w:before="0" w:beforeAutospacing="0" w:after="0" w:afterAutospacing="0" w:line="360" w:lineRule="auto"/>
        <w:shd w:val="clear" w:color="ffffff" w:fill="auto"/>
        <w:rPr>
          <w:rFonts w:hint="eastAsia"/>
          <w:color w:val="000000"/>
        </w:rPr>
      </w:pPr>
      <w:r>
        <w:rPr>
          <w:rFonts w:hint="eastAsia"/>
          <w:color w:val="000000"/>
        </w:rPr>
        <w:t xml:space="preserve">时间：磋商公告之日起5个工作日。</w:t>
      </w:r>
      <w:r/>
    </w:p>
    <w:p>
      <w:pPr>
        <w:pStyle w:val="679"/>
        <w:ind w:firstLine="480"/>
        <w:spacing w:before="0" w:beforeAutospacing="0" w:after="0" w:afterAutospacing="0" w:line="360" w:lineRule="auto"/>
        <w:shd w:val="clear" w:color="ffffff" w:fill="auto"/>
        <w:rPr>
          <w:rFonts w:hint="eastAsia"/>
          <w:color w:val="000000"/>
        </w:rPr>
      </w:pPr>
      <w:r>
        <w:rPr>
          <w:rFonts w:hint="eastAsia"/>
          <w:color w:val="000000"/>
        </w:rPr>
        <w:t xml:space="preserve">地点：供应商登录苏州市政府采购网站首页下侧 “苏采云-已参与项目”中，根据提示，下载招标（采购）文件。 </w:t>
      </w:r>
      <w:r/>
    </w:p>
    <w:p>
      <w:pPr>
        <w:pStyle w:val="679"/>
        <w:ind w:firstLine="480"/>
        <w:spacing w:before="0" w:beforeAutospacing="0" w:after="0" w:afterAutospacing="0" w:line="360" w:lineRule="auto"/>
        <w:shd w:val="clear" w:color="ffffff" w:fill="auto"/>
        <w:rPr>
          <w:rFonts w:hint="eastAsia"/>
          <w:color w:val="000000"/>
        </w:rPr>
      </w:pPr>
      <w:r>
        <w:rPr>
          <w:rFonts w:hint="eastAsia"/>
          <w:color w:val="000000"/>
        </w:rPr>
        <w:t xml:space="preserve">方式：网上报名 </w:t>
      </w:r>
      <w:r/>
    </w:p>
    <w:p>
      <w:pPr>
        <w:pStyle w:val="679"/>
        <w:ind w:firstLine="480"/>
        <w:spacing w:before="0" w:beforeAutospacing="0" w:after="0" w:afterAutospacing="0" w:line="360" w:lineRule="auto"/>
        <w:shd w:val="clear" w:color="ffffff" w:fill="auto"/>
        <w:rPr>
          <w:rFonts w:hint="eastAsia"/>
          <w:color w:val="000000"/>
        </w:rPr>
      </w:pPr>
      <w:r>
        <w:rPr>
          <w:rFonts w:hint="eastAsia"/>
          <w:color w:val="000000"/>
        </w:rPr>
        <w:t xml:space="preserve">售价：0.00元 </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四、响应文件递交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截止时间：2026年04月</w:t>
      </w: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rPr>
        <w:t xml:space="preserve">日09：30（北京时间）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地点：苏州市政府采购网站-苏采云系统</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五、开启</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时间：2026年04月</w:t>
      </w:r>
      <w:r>
        <w:rPr>
          <w:rFonts w:hint="eastAsia" w:ascii="宋体" w:hAnsi="宋体" w:eastAsia="宋体" w:cs="宋体"/>
          <w:color w:val="000000"/>
          <w:sz w:val="24"/>
          <w:szCs w:val="24"/>
          <w:lang w:val="en-US" w:eastAsia="zh-CN"/>
        </w:rPr>
        <w:t xml:space="preserve">28</w:t>
      </w:r>
      <w:r>
        <w:rPr>
          <w:rFonts w:hint="eastAsia" w:ascii="宋体" w:hAnsi="宋体" w:eastAsia="宋体" w:cs="宋体"/>
          <w:color w:val="000000"/>
          <w:sz w:val="24"/>
          <w:szCs w:val="24"/>
        </w:rPr>
        <w:t xml:space="preserve">日09：30（北京时间）</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六、公告期限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p>
    <w:p>
      <w:pPr>
        <w:spacing w:line="360" w:lineRule="auto"/>
        <w:rPr>
          <w:rFonts w:hint="eastAsia" w:ascii="宋体" w:hAnsi="宋体" w:eastAsia="宋体" w:cs="宋体"/>
          <w:b/>
          <w:bCs/>
          <w:color w:val="000000"/>
          <w:sz w:val="24"/>
          <w:szCs w:val="24"/>
        </w:rPr>
      </w:pPr>
      <w:r/>
      <w:bookmarkStart w:id="20" w:name="_Toc35393803"/>
      <w:r/>
      <w:bookmarkStart w:id="21" w:name="_Toc28359017"/>
      <w:r/>
      <w:bookmarkStart w:id="22" w:name="_Toc28359094"/>
      <w:r/>
      <w:bookmarkStart w:id="23" w:name="_Toc35393634"/>
      <w:r>
        <w:rPr>
          <w:rFonts w:hint="eastAsia" w:ascii="宋体" w:hAnsi="宋体" w:eastAsia="宋体" w:cs="宋体"/>
          <w:b/>
          <w:bCs/>
          <w:color w:val="000000"/>
          <w:sz w:val="24"/>
          <w:szCs w:val="24"/>
        </w:rPr>
        <w:t xml:space="preserve">七、</w:t>
      </w:r>
      <w:bookmarkEnd w:id="20"/>
      <w:r/>
      <w:bookmarkEnd w:id="21"/>
      <w:r/>
      <w:bookmarkEnd w:id="22"/>
      <w:r/>
      <w:bookmarkEnd w:id="23"/>
      <w:r/>
      <w:bookmarkStart w:id="24" w:name="_Toc35393804"/>
      <w:r/>
      <w:bookmarkStart w:id="25" w:name="_Toc35393635"/>
      <w:r>
        <w:rPr>
          <w:rFonts w:hint="eastAsia" w:ascii="宋体" w:hAnsi="宋体" w:eastAsia="宋体" w:cs="宋体"/>
          <w:b/>
          <w:bCs/>
          <w:color w:val="000000"/>
          <w:sz w:val="24"/>
          <w:szCs w:val="24"/>
        </w:rPr>
        <w:t xml:space="preserve">其他补充事宜</w:t>
      </w:r>
      <w:bookmarkEnd w:id="24"/>
      <w:r/>
      <w:bookmarkEnd w:id="25"/>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2、本项目支持网上不见面开标，</w:t>
      </w:r>
      <w:r>
        <w:rPr>
          <w:rFonts w:hint="eastAsia" w:ascii="宋体" w:hAnsi="宋体" w:eastAsia="宋体" w:cs="宋体"/>
          <w:b/>
          <w:bCs/>
          <w:color w:val="000000"/>
          <w:sz w:val="24"/>
          <w:szCs w:val="24"/>
        </w:rPr>
        <w:t xml:space="preserve">供应商不需到现场参加磋商会</w:t>
      </w:r>
      <w:r>
        <w:rPr>
          <w:rFonts w:hint="eastAsia" w:ascii="宋体" w:hAnsi="宋体" w:eastAsia="宋体" w:cs="宋体"/>
          <w:b/>
          <w:bCs/>
          <w:color w:val="000000"/>
          <w:sz w:val="24"/>
          <w:szCs w:val="24"/>
          <w:lang w:val="zh-CN"/>
        </w:rPr>
        <w:t xml:space="preserve">，开标阶段供应商在【供应商解密】环节必须使用 CA证书解密电子投标（响应）文件，如在系统规定的解密时间内未能完成解密的视为放弃投标（响应）</w:t>
      </w:r>
      <w:r>
        <w:rPr>
          <w:rFonts w:hint="eastAsia" w:ascii="宋体" w:hAnsi="宋体" w:eastAsia="宋体" w:cs="宋体"/>
          <w:b/>
          <w:bCs/>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4、线上参加（观看）开标会方式：苏州市政府采购网点击“</w:t>
      </w:r>
      <w:r>
        <w:rPr>
          <w:rFonts w:hint="eastAsia" w:ascii="宋体" w:hAnsi="宋体" w:eastAsia="宋体" w:cs="宋体"/>
          <w:bCs/>
          <w:color w:val="000000"/>
          <w:sz w:val="24"/>
          <w:szCs w:val="24"/>
        </w:rPr>
        <w:t xml:space="preserve">苏采云</w:t>
      </w:r>
      <w:r>
        <w:rPr>
          <w:rFonts w:hint="eastAsia" w:ascii="宋体" w:hAnsi="宋体" w:eastAsia="宋体" w:cs="宋体"/>
          <w:color w:val="000000"/>
          <w:sz w:val="24"/>
          <w:szCs w:val="24"/>
        </w:rPr>
        <w:t xml:space="preserve">”进入交易系统，点击“开标大厅-我的项目”，找到对应项目</w:t>
      </w:r>
      <w:r>
        <w:rPr>
          <w:rFonts w:hint="eastAsia" w:ascii="宋体" w:hAnsi="宋体" w:eastAsia="宋体" w:cs="宋体"/>
          <w:color w:val="000000"/>
          <w:sz w:val="24"/>
          <w:szCs w:val="24"/>
          <w:shd w:val="clear" w:color="auto" w:fill="ffffff"/>
        </w:rPr>
        <w:t xml:space="preserve">进入不见面开标系统</w:t>
      </w:r>
      <w:r>
        <w:rPr>
          <w:rFonts w:hint="eastAsia" w:ascii="宋体" w:hAnsi="宋体" w:eastAsia="宋体" w:cs="宋体"/>
          <w:color w:val="000000"/>
          <w:sz w:val="24"/>
          <w:szCs w:val="24"/>
        </w:rPr>
        <w:t xml:space="preserve">。</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w:t>
      </w:r>
      <w:r>
        <w:rPr>
          <w:rFonts w:hint="eastAsia" w:ascii="宋体" w:hAnsi="宋体" w:eastAsia="宋体" w:cs="宋体"/>
          <w:sz w:val="24"/>
          <w:szCs w:val="24"/>
        </w:rPr>
        <w:t xml:space="preserve">苏州高新区邓尉路105号狮山科技馆1楼服务大厅，咨询电话：0512-65737699。</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7、考虑到熟悉苏采云系统操作需要一定的时间，请提早准备以免耽误采购活动。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9、投标人（供应商）应自行在苏采云政府采购一体化平台上下载/获取招标（采购）文件及其澄清（答疑）等相关招标（采购）资料，恕不另行通知。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10、采购项目需要落实的政府采购政策：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（1）财政部、工业和信息化部《政府采购促进中小企业发展管理办法》。</w:t>
      </w:r>
      <w:r/>
    </w:p>
    <w:p>
      <w:pPr>
        <w:pStyle w:val="679"/>
        <w:ind w:firstLine="420"/>
        <w:spacing w:before="0" w:beforeAutospacing="0" w:after="0" w:afterAutospacing="0" w:line="360" w:lineRule="auto"/>
        <w:shd w:val="clear" w:color="ffffff" w:fill="auto"/>
        <w:rPr>
          <w:rFonts w:hint="eastAsia"/>
          <w:color w:val="000000"/>
        </w:rPr>
      </w:pPr>
      <w:r>
        <w:rPr>
          <w:rFonts w:hint="eastAsia"/>
          <w:color w:val="000000"/>
        </w:rPr>
        <w:t xml:space="preserve">（2）苏州市财政局《关于贯彻执行绿色采购、促进残疾人就业和支持监狱企业发展有关政策的通知（苏财购〔2020〕10号）》。</w:t>
      </w:r>
      <w:r/>
    </w:p>
    <w:p>
      <w:pPr>
        <w:pStyle w:val="679"/>
        <w:ind w:firstLine="420"/>
        <w:spacing w:before="0" w:beforeAutospacing="0" w:after="0" w:afterAutospacing="0" w:line="360" w:lineRule="auto"/>
        <w:shd w:val="clear" w:color="ffffff" w:fill="auto"/>
        <w:rPr>
          <w:rFonts w:hint="eastAsia"/>
          <w:color w:val="000000"/>
        </w:rPr>
      </w:pPr>
      <w:r>
        <w:rPr>
          <w:rFonts w:hint="eastAsia"/>
          <w:color w:val="000000"/>
        </w:rPr>
        <w:t xml:space="preserve">（3）财库【2022】19号关于进一步加大政府采购支持中小企业力度的通知。</w:t>
      </w:r>
      <w:r/>
    </w:p>
    <w:p>
      <w:pPr>
        <w:pStyle w:val="679"/>
        <w:ind w:firstLine="420"/>
        <w:spacing w:before="0" w:beforeAutospacing="0" w:after="0" w:afterAutospacing="0" w:line="360" w:lineRule="auto"/>
        <w:shd w:val="clear" w:color="ffffff" w:fill="auto"/>
        <w:rPr>
          <w:rFonts w:hint="eastAsia"/>
          <w:color w:val="000000"/>
        </w:rPr>
      </w:pPr>
      <w:r>
        <w:rPr>
          <w:rFonts w:hint="eastAsia"/>
          <w:color w:val="000000"/>
        </w:rPr>
        <w:t xml:space="preserve">（4）苏财购【2022】16号关于印发《苏州市政府采购促进中小企业发展实施意见》的通知。</w:t>
      </w:r>
      <w:r/>
    </w:p>
    <w:p>
      <w:pPr>
        <w:pStyle w:val="679"/>
        <w:ind w:firstLine="420"/>
        <w:spacing w:before="0" w:beforeAutospacing="0" w:after="0" w:afterAutospacing="0" w:line="360" w:lineRule="auto"/>
        <w:shd w:val="clear" w:color="ffffff" w:fill="auto"/>
        <w:rPr>
          <w:rFonts w:hint="eastAsia"/>
        </w:rPr>
      </w:pPr>
      <w:r>
        <w:rPr>
          <w:rFonts w:hint="eastAsia"/>
        </w:rPr>
        <w:t xml:space="preserve">11、成交供应商可凭政府采购合同办理融资贷款，详情请见江苏政府采购网“政采贷”专栏。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12、请贵单位领取本次采购文件后，认真阅读各项内容，进行必要的磋商准备，按文件的要求详细填写和编制响应文件。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13、苏州市政府采购监督电话：0512-68616651。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14、本次采购的有关信息将在苏州市政府采购网、江苏政府采购网、中国政府采购网</w:t>
      </w:r>
      <w:r>
        <w:fldChar w:fldCharType="begin"/>
      </w:r>
      <w:r>
        <w:instrText xml:space="preserve"> HYPERLINK "Http://www.szweikang.com、《中国财经报》、《城市商报》上发布" </w:instrText>
      </w:r>
      <w:r>
        <w:fldChar w:fldCharType="separate"/>
      </w:r>
      <w:r>
        <w:rPr>
          <w:rFonts w:hint="eastAsia" w:ascii="宋体" w:hAnsi="宋体" w:eastAsia="宋体" w:cs="宋体"/>
          <w:sz w:val="24"/>
          <w:szCs w:val="24"/>
        </w:rPr>
        <w:t xml:space="preserve">上发布</w:t>
      </w:r>
      <w:r>
        <w:rPr>
          <w:rFonts w:hint="eastAsia" w:ascii="宋体" w:hAnsi="宋体" w:eastAsia="宋体" w:cs="宋体"/>
          <w:sz w:val="24"/>
          <w:szCs w:val="24"/>
        </w:rPr>
        <w:fldChar w:fldCharType="end"/>
      </w:r>
      <w:r>
        <w:rPr>
          <w:rFonts w:hint="eastAsia" w:ascii="宋体" w:hAnsi="宋体" w:eastAsia="宋体" w:cs="宋体"/>
          <w:sz w:val="24"/>
          <w:szCs w:val="24"/>
        </w:rPr>
        <w:t xml:space="preserve">，敬请留意。</w:t>
      </w:r>
      <w:r/>
    </w:p>
    <w:p>
      <w:pPr>
        <w:pStyle w:val="679"/>
        <w:ind w:firstLine="420"/>
        <w:spacing w:before="0" w:beforeAutospacing="0" w:after="0" w:afterAutospacing="0" w:line="360" w:lineRule="auto"/>
        <w:shd w:val="clear" w:color="ffffff" w:fill="auto"/>
        <w:rPr>
          <w:rFonts w:hint="eastAsia"/>
        </w:rPr>
      </w:pPr>
      <w:r>
        <w:rPr>
          <w:rFonts w:hint="eastAsia"/>
        </w:rPr>
        <w:t xml:space="preserve">15、</w:t>
      </w:r>
      <w:r>
        <w:t xml:space="preserve">技术支持</w:t>
      </w:r>
      <w:r/>
    </w:p>
    <w:p>
      <w:pPr>
        <w:pStyle w:val="679"/>
        <w:ind w:firstLine="420"/>
        <w:spacing w:before="0" w:beforeAutospacing="0" w:after="0" w:afterAutospacing="0" w:line="360" w:lineRule="auto"/>
        <w:shd w:val="clear" w:color="ffffff" w:fill="auto"/>
        <w:rPr>
          <w:rFonts w:hint="eastAsia"/>
        </w:rPr>
      </w:pPr>
      <w:r>
        <w:rPr>
          <w:rFonts w:hint="eastAsia"/>
        </w:rPr>
        <w:t xml:space="preserve">注册咨询：18261002950；</w:t>
      </w:r>
      <w:r/>
    </w:p>
    <w:p>
      <w:pPr>
        <w:pStyle w:val="679"/>
        <w:ind w:firstLine="420"/>
        <w:spacing w:before="0" w:beforeAutospacing="0" w:after="0" w:afterAutospacing="0" w:line="360" w:lineRule="auto"/>
        <w:shd w:val="clear" w:color="ffffff" w:fill="auto"/>
        <w:rPr>
          <w:rFonts w:hint="eastAsia"/>
        </w:rPr>
      </w:pPr>
      <w:r>
        <w:rPr>
          <w:rFonts w:hint="eastAsia"/>
        </w:rPr>
        <w:t xml:space="preserve">CA技术咨询电话：400-608-6099；</w:t>
      </w:r>
      <w:r/>
    </w:p>
    <w:p>
      <w:pPr>
        <w:pStyle w:val="679"/>
        <w:ind w:firstLine="420"/>
        <w:spacing w:before="0" w:beforeAutospacing="0" w:after="0" w:afterAutospacing="0" w:line="360" w:lineRule="auto"/>
        <w:shd w:val="clear" w:color="ffffff" w:fill="auto"/>
        <w:rPr>
          <w:rFonts w:hint="eastAsia"/>
        </w:rPr>
      </w:pPr>
      <w:r>
        <w:rPr>
          <w:rFonts w:hint="eastAsia"/>
        </w:rPr>
        <w:t xml:space="preserve">签章使用问题：025-83633811、025-83633812、15380932027、15371015030；</w:t>
      </w:r>
      <w:r/>
    </w:p>
    <w:p>
      <w:pPr>
        <w:pStyle w:val="679"/>
        <w:ind w:firstLine="420"/>
        <w:spacing w:before="0" w:beforeAutospacing="0" w:after="0" w:afterAutospacing="0" w:line="360" w:lineRule="auto"/>
        <w:shd w:val="clear" w:color="ffffff" w:fill="auto"/>
        <w:rPr>
          <w:rFonts w:hint="eastAsia"/>
        </w:rPr>
      </w:pPr>
      <w:r>
        <w:rPr>
          <w:rFonts w:hint="eastAsia"/>
        </w:rPr>
        <w:t xml:space="preserve">系统使用指导与咨询：联系电话：13914088964、18261002950；QQ：3048755361、1315179389、895706745。</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八、凡对本次采购提出询问，请按</w:t>
      </w:r>
      <w:r>
        <w:rPr>
          <w:rFonts w:ascii="宋体" w:hAnsi="宋体" w:eastAsia="宋体"/>
          <w:b/>
          <w:sz w:val="24"/>
          <w:szCs w:val="24"/>
        </w:rPr>
        <w:t xml:space="preserve">以下方式</w:t>
      </w:r>
      <w:r>
        <w:rPr>
          <w:rFonts w:hint="eastAsia" w:ascii="宋体" w:hAnsi="宋体" w:eastAsia="宋体"/>
          <w:b/>
          <w:sz w:val="24"/>
          <w:szCs w:val="24"/>
        </w:rPr>
        <w:t xml:space="preserve">联系。</w:t>
      </w:r>
      <w:bookmarkEnd w:id="16"/>
      <w:bookmarkEnd w:id="17"/>
      <w:bookmarkEnd w:id="18"/>
      <w:bookmarkEnd w:id="19"/>
      <w:r/>
    </w:p>
    <w:p>
      <w:pPr>
        <w:ind w:firstLine="480"/>
        <w:spacing w:line="360" w:lineRule="auto"/>
        <w:rPr>
          <w:rFonts w:hint="eastAsia" w:asciiTheme="minorEastAsia" w:hAnsiTheme="minorEastAsia" w:eastAsiaTheme="minorEastAsia"/>
          <w:sz w:val="24"/>
          <w:szCs w:val="24"/>
        </w:rPr>
      </w:pPr>
      <w:r/>
      <w:bookmarkStart w:id="26" w:name="_Toc35393806"/>
      <w:r/>
      <w:bookmarkStart w:id="27" w:name="_Toc35393637"/>
      <w:r/>
      <w:bookmarkStart w:id="28" w:name="_Toc28359019"/>
      <w:r/>
      <w:bookmarkStart w:id="29" w:name="_Toc28359096"/>
      <w:r>
        <w:rPr>
          <w:rFonts w:hint="eastAsia" w:asciiTheme="minorEastAsia" w:hAnsiTheme="minorEastAsia" w:eastAsiaTheme="minorEastAsia"/>
          <w:sz w:val="24"/>
          <w:szCs w:val="24"/>
        </w:rPr>
        <w:t xml:space="preserve">1.采购人信息</w:t>
      </w:r>
      <w:bookmarkEnd w:id="26"/>
      <w:r/>
      <w:bookmarkEnd w:id="27"/>
      <w:r/>
      <w:bookmarkEnd w:id="28"/>
      <w:r/>
      <w:bookmarkEnd w:id="29"/>
      <w:r/>
      <w:r/>
    </w:p>
    <w:p>
      <w:pPr>
        <w:ind w:firstLine="480"/>
        <w:spacing w:line="360" w:lineRule="auto"/>
        <w:rPr>
          <w:rFonts w:hint="eastAsia" w:asciiTheme="minorEastAsia" w:hAnsiTheme="minorEastAsia" w:eastAsiaTheme="minorEastAsia"/>
          <w:sz w:val="24"/>
          <w:szCs w:val="24"/>
        </w:rPr>
      </w:pPr>
      <w:r/>
      <w:bookmarkStart w:id="30" w:name="_Toc35393807"/>
      <w:r/>
      <w:bookmarkStart w:id="31" w:name="_Toc28359020"/>
      <w:r/>
      <w:bookmarkStart w:id="32" w:name="_Toc28359097"/>
      <w:r/>
      <w:bookmarkStart w:id="33" w:name="_Toc35393638"/>
      <w:r>
        <w:rPr>
          <w:rFonts w:hint="eastAsia" w:asciiTheme="minorEastAsia" w:hAnsiTheme="minorEastAsia" w:eastAsiaTheme="minorEastAsia"/>
          <w:sz w:val="24"/>
          <w:szCs w:val="24"/>
        </w:rPr>
        <w:t xml:space="preserve">名称：苏州图书馆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联系地址：</w:t>
      </w:r>
      <w:r>
        <w:rPr>
          <w:rFonts w:hint="eastAsia" w:ascii="宋体" w:hAnsi="宋体" w:eastAsia="宋体" w:cs="宋体"/>
          <w:bCs/>
          <w:sz w:val="24"/>
          <w:szCs w:val="24"/>
        </w:rPr>
        <w:t xml:space="preserve">苏州市姑苏区人民路858号</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联系人：黄溢琦</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联系方式：0512-65225118</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2.采购代理机构信息</w:t>
      </w:r>
      <w:bookmarkEnd w:id="30"/>
      <w:bookmarkEnd w:id="31"/>
      <w:bookmarkEnd w:id="32"/>
      <w:bookmarkEnd w:id="33"/>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    称：苏州星创招投标咨询有限公司</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　　址：苏州姑苏区桐泾北路218号今雨荟商务大厦908室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联系方式：0512-68153882</w:t>
      </w:r>
      <w:r/>
    </w:p>
    <w:p>
      <w:pPr>
        <w:ind w:firstLine="480"/>
        <w:spacing w:line="360" w:lineRule="auto"/>
        <w:rPr>
          <w:rFonts w:hint="eastAsia" w:ascii="宋体" w:hAnsi="宋体" w:eastAsia="宋体"/>
          <w:sz w:val="24"/>
          <w:szCs w:val="24"/>
        </w:rPr>
      </w:pPr>
      <w:r/>
      <w:bookmarkStart w:id="34" w:name="_Toc28359021"/>
      <w:r/>
      <w:bookmarkStart w:id="35" w:name="_Toc28359098"/>
      <w:r/>
      <w:bookmarkStart w:id="36" w:name="_Toc35393639"/>
      <w:r/>
      <w:bookmarkStart w:id="37" w:name="_Toc35393808"/>
      <w:r>
        <w:rPr>
          <w:rFonts w:hint="eastAsia" w:ascii="宋体" w:hAnsi="宋体" w:eastAsia="宋体"/>
          <w:sz w:val="24"/>
          <w:szCs w:val="24"/>
        </w:rPr>
        <w:t xml:space="preserve">3.项目联系</w:t>
      </w:r>
      <w:r>
        <w:rPr>
          <w:rFonts w:ascii="宋体" w:hAnsi="宋体" w:eastAsia="宋体"/>
          <w:sz w:val="24"/>
          <w:szCs w:val="24"/>
        </w:rPr>
        <w:t xml:space="preserve">方式</w:t>
      </w:r>
      <w:bookmarkEnd w:id="34"/>
      <w:r/>
      <w:bookmarkEnd w:id="35"/>
      <w:r/>
      <w:bookmarkEnd w:id="36"/>
      <w:r/>
      <w:bookmarkEnd w:id="37"/>
      <w:r/>
      <w:r/>
    </w:p>
    <w:p>
      <w:pPr>
        <w:pStyle w:val="669"/>
        <w:ind w:firstLine="480"/>
        <w:spacing w:line="360" w:lineRule="auto"/>
        <w:rPr>
          <w:rFonts w:hint="eastAsia" w:hAnsi="宋体" w:eastAsia="宋体"/>
          <w:sz w:val="24"/>
          <w:szCs w:val="24"/>
        </w:rPr>
      </w:pPr>
      <w:r>
        <w:rPr>
          <w:rFonts w:hint="eastAsia" w:hAnsi="宋体" w:eastAsia="宋体"/>
          <w:sz w:val="24"/>
          <w:szCs w:val="24"/>
        </w:rPr>
        <w:t xml:space="preserve">项目联系人：周星宇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话：0512-68153882</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743"/>
        <w:ind w:firstLine="480"/>
      </w:pPr>
      <w:r/>
      <w:r/>
    </w:p>
    <w:p>
      <w:pPr>
        <w:pStyle w:val="653"/>
        <w:numPr>
          <w:ilvl w:val="0"/>
          <w:numId w:val="3"/>
        </w:numPr>
        <w:ind w:firstLine="522"/>
        <w:jc w:val="center"/>
        <w:rPr>
          <w:rFonts w:hint="eastAsia" w:ascii="宋体" w:hAnsi="宋体" w:eastAsia="宋体"/>
          <w:sz w:val="52"/>
        </w:rPr>
      </w:pPr>
      <w:r/>
      <w:bookmarkStart w:id="38" w:name="_Toc20400"/>
      <w:r>
        <w:rPr>
          <w:rFonts w:hint="eastAsia" w:ascii="宋体" w:hAnsi="宋体" w:eastAsia="宋体"/>
          <w:sz w:val="52"/>
        </w:rPr>
        <w:t xml:space="preserve">磋商供应商须知</w:t>
      </w:r>
      <w:bookmarkEnd w:id="7"/>
      <w:r/>
      <w:bookmarkEnd w:id="38"/>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 </w:t>
      </w:r>
      <w:r>
        <w:rPr>
          <w:rFonts w:hint="eastAsia" w:asciiTheme="minorEastAsia" w:hAnsiTheme="minorEastAsia" w:eastAsiaTheme="minorEastAsia"/>
          <w:b/>
          <w:sz w:val="24"/>
          <w:szCs w:val="24"/>
        </w:rPr>
        <w:t xml:space="preserve">说明</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1.1</w:t>
      </w:r>
      <w:r>
        <w:rPr>
          <w:rFonts w:hint="eastAsia" w:asciiTheme="minorEastAsia" w:hAnsiTheme="minorEastAsia" w:eastAsiaTheme="minorEastAsia"/>
          <w:szCs w:val="24"/>
        </w:rPr>
        <w:t xml:space="preserve">本磋商采购文件仅适用于苏州星创招投标咨询有限公司组织的采购活动。</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1.2</w:t>
      </w:r>
      <w:r>
        <w:rPr>
          <w:rFonts w:hint="eastAsia" w:asciiTheme="minorEastAsia" w:hAnsiTheme="minorEastAsia" w:eastAsiaTheme="minorEastAsia"/>
          <w:szCs w:val="24"/>
        </w:rPr>
        <w:t xml:space="preserve">本次采购活动及因本次采购产生的合同受中国法律制约和保护。</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1.3</w:t>
      </w:r>
      <w:r>
        <w:rPr>
          <w:rFonts w:hint="eastAsia" w:asciiTheme="minorEastAsia" w:hAnsiTheme="minorEastAsia" w:eastAsiaTheme="minorEastAsia"/>
          <w:szCs w:val="24"/>
        </w:rPr>
        <w:t xml:space="preserve">本磋商采购文件的解释权属于苏州星创招投标咨询有限公司。</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 </w:t>
      </w:r>
      <w:r>
        <w:rPr>
          <w:rFonts w:hint="eastAsia" w:asciiTheme="minorEastAsia" w:hAnsiTheme="minorEastAsia" w:eastAsiaTheme="minorEastAsia"/>
          <w:b/>
          <w:sz w:val="24"/>
          <w:szCs w:val="24"/>
        </w:rPr>
        <w:t xml:space="preserve">词语释义</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2.1</w:t>
      </w:r>
      <w:r>
        <w:rPr>
          <w:rFonts w:hint="eastAsia" w:asciiTheme="minorEastAsia" w:hAnsiTheme="minorEastAsia" w:eastAsiaTheme="minorEastAsia"/>
          <w:szCs w:val="24"/>
        </w:rPr>
        <w:t xml:space="preserve">采购人：依法进行政府采购的</w:t>
      </w:r>
      <w:r>
        <w:rPr>
          <w:rFonts w:asciiTheme="minorEastAsia" w:hAnsiTheme="minorEastAsia" w:eastAsiaTheme="minorEastAsia"/>
          <w:szCs w:val="24"/>
        </w:rPr>
        <w:t xml:space="preserve">各级国家机关、事业单位</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团体组织</w:t>
      </w:r>
      <w:r>
        <w:rPr>
          <w:rFonts w:hint="eastAsia" w:asciiTheme="minorEastAsia" w:hAnsiTheme="minorEastAsia" w:eastAsiaTheme="minorEastAsia"/>
          <w:szCs w:val="24"/>
        </w:rPr>
        <w:t xml:space="preserve">。</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2.2</w:t>
      </w:r>
      <w:r>
        <w:rPr>
          <w:rFonts w:hint="eastAsia" w:asciiTheme="minorEastAsia" w:hAnsiTheme="minorEastAsia" w:eastAsiaTheme="minorEastAsia"/>
          <w:szCs w:val="24"/>
        </w:rPr>
        <w:t xml:space="preserve">磋商供应商：指向采购人提供货物、工程或服务的法人、其他组织或者自然人。</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2.3采购代理机构：</w:t>
      </w:r>
      <w:r>
        <w:rPr>
          <w:rFonts w:asciiTheme="minorEastAsia" w:hAnsiTheme="minorEastAsia" w:eastAsiaTheme="minorEastAsia"/>
          <w:szCs w:val="24"/>
        </w:rPr>
        <w:t xml:space="preserve">指依法接受采购人委托，从事货物、工程和服务</w:t>
      </w:r>
      <w:r>
        <w:rPr>
          <w:rFonts w:hint="eastAsia" w:asciiTheme="minorEastAsia" w:hAnsiTheme="minorEastAsia" w:eastAsiaTheme="minorEastAsia"/>
          <w:szCs w:val="24"/>
        </w:rPr>
        <w:t xml:space="preserve">等政府</w:t>
      </w:r>
      <w:r>
        <w:rPr>
          <w:rFonts w:asciiTheme="minorEastAsia" w:hAnsiTheme="minorEastAsia" w:eastAsiaTheme="minorEastAsia"/>
          <w:szCs w:val="24"/>
        </w:rPr>
        <w:t xml:space="preserve">采购代理业务的社会中介机构</w:t>
      </w:r>
      <w:r>
        <w:rPr>
          <w:rFonts w:hint="eastAsia" w:asciiTheme="minorEastAsia" w:hAnsiTheme="minorEastAsia" w:eastAsiaTheme="minorEastAsia"/>
          <w:szCs w:val="24"/>
        </w:rPr>
        <w:t xml:space="preserve">。</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2.4磋商采购单位：采购人及采购代理机构的统称，具体组织实施磋商采购活动。</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5响应：磋商供应商根据采购人发布的磋商文件，编制响应文件并按规定参与磋商的行为。</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6知识产权：指专利权、商标权、著作权等无形财产专有权的统称。</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7天：日历日。</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8服务地点：合同中明确约定的乙方服务的最终地点。</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9不可抗力：不能预见、不能避免并且不能克服的客观情况。</w:t>
      </w:r>
      <w:r/>
    </w:p>
    <w:p>
      <w:pPr>
        <w:pStyle w:val="661"/>
        <w:ind w:firstLine="241"/>
        <w:jc w:val="both"/>
        <w:spacing w:line="360" w:lineRule="auto"/>
        <w:rPr>
          <w:rFonts w:hint="eastAsia" w:asciiTheme="minorEastAsia" w:hAnsiTheme="minorEastAsia" w:eastAsiaTheme="minorEastAsia"/>
          <w:b/>
          <w:szCs w:val="24"/>
        </w:rPr>
      </w:pPr>
      <w:r>
        <w:rPr>
          <w:rFonts w:hint="eastAsia" w:asciiTheme="minorEastAsia" w:hAnsiTheme="minorEastAsia" w:eastAsiaTheme="minorEastAsia"/>
          <w:b/>
          <w:szCs w:val="24"/>
        </w:rPr>
        <w:t xml:space="preserve">2.10实质性响应：满足</w:t>
      </w:r>
      <w:r>
        <w:rPr>
          <w:rFonts w:asciiTheme="minorEastAsia" w:hAnsiTheme="minorEastAsia" w:eastAsiaTheme="minorEastAsia"/>
          <w:b/>
          <w:szCs w:val="24"/>
        </w:rPr>
        <w:t xml:space="preserve">有关</w:t>
      </w:r>
      <w:r>
        <w:rPr>
          <w:rFonts w:hint="eastAsia" w:asciiTheme="minorEastAsia" w:hAnsiTheme="minorEastAsia" w:eastAsiaTheme="minorEastAsia"/>
          <w:b/>
          <w:szCs w:val="24"/>
        </w:rPr>
        <w:t xml:space="preserve">本次采购</w:t>
      </w:r>
      <w:r>
        <w:rPr>
          <w:rFonts w:asciiTheme="minorEastAsia" w:hAnsiTheme="minorEastAsia" w:eastAsiaTheme="minorEastAsia"/>
          <w:b/>
          <w:szCs w:val="24"/>
        </w:rPr>
        <w:t xml:space="preserve">标的、数量、质量、价款或者报酬、履行期限、履行地点和方式、违约责任和解决争议方法等</w:t>
      </w:r>
      <w:r>
        <w:rPr>
          <w:rFonts w:hint="eastAsia" w:asciiTheme="minorEastAsia" w:hAnsiTheme="minorEastAsia" w:eastAsiaTheme="minorEastAsia"/>
          <w:b/>
          <w:szCs w:val="24"/>
        </w:rPr>
        <w:t xml:space="preserve">要求。</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2.11</w:t>
      </w:r>
      <w:r>
        <w:rPr>
          <w:rFonts w:asciiTheme="minorEastAsia" w:hAnsiTheme="minorEastAsia" w:eastAsiaTheme="minorEastAsia"/>
          <w:szCs w:val="24"/>
        </w:rPr>
        <w:t xml:space="preserve">书面形式：指</w:t>
      </w:r>
      <w:r>
        <w:rPr>
          <w:rFonts w:hint="eastAsia" w:asciiTheme="minorEastAsia" w:hAnsiTheme="minorEastAsia" w:eastAsiaTheme="minorEastAsia"/>
          <w:szCs w:val="24"/>
        </w:rPr>
        <w:t xml:space="preserve">书面文字、</w:t>
      </w:r>
      <w:r>
        <w:rPr>
          <w:rFonts w:asciiTheme="minorEastAsia" w:hAnsiTheme="minorEastAsia" w:eastAsiaTheme="minorEastAsia"/>
          <w:szCs w:val="24"/>
        </w:rPr>
        <w:t xml:space="preserve">合同书、信件和传真等可以有形地表现所载内容的形式。</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2.12扫描件：指原件的各种彩色复制件，包括扫描、照片等。</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3.合格磋商供应商的一般条件</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按磋商公告</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4.合格磋商供应商的特殊条件</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按磋商公告</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5</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磋商供应商代表</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5.1</w:t>
      </w:r>
      <w:r>
        <w:rPr>
          <w:rFonts w:asciiTheme="minorEastAsia" w:hAnsiTheme="minorEastAsia" w:eastAsiaTheme="minorEastAsia"/>
          <w:szCs w:val="24"/>
        </w:rPr>
        <w:t xml:space="preserve">指全权代表</w:t>
      </w:r>
      <w:r>
        <w:rPr>
          <w:rFonts w:hint="eastAsia" w:asciiTheme="minorEastAsia" w:hAnsiTheme="minorEastAsia" w:eastAsiaTheme="minorEastAsia"/>
          <w:szCs w:val="24"/>
        </w:rPr>
        <w:t xml:space="preserve">磋商供应商</w:t>
      </w:r>
      <w:r>
        <w:rPr>
          <w:rFonts w:asciiTheme="minorEastAsia" w:hAnsiTheme="minorEastAsia" w:eastAsiaTheme="minorEastAsia"/>
          <w:szCs w:val="24"/>
        </w:rPr>
        <w:t xml:space="preserve">参加</w:t>
      </w:r>
      <w:r>
        <w:rPr>
          <w:rFonts w:hint="eastAsia" w:asciiTheme="minorEastAsia" w:hAnsiTheme="minorEastAsia" w:eastAsiaTheme="minorEastAsia"/>
          <w:szCs w:val="24"/>
        </w:rPr>
        <w:t xml:space="preserve">磋商采购</w:t>
      </w:r>
      <w:r>
        <w:rPr>
          <w:rFonts w:asciiTheme="minorEastAsia" w:hAnsiTheme="minorEastAsia" w:eastAsiaTheme="minorEastAsia"/>
          <w:szCs w:val="24"/>
        </w:rPr>
        <w:t xml:space="preserve">活动并签署</w:t>
      </w:r>
      <w:r>
        <w:rPr>
          <w:rFonts w:hint="eastAsia" w:asciiTheme="minorEastAsia" w:hAnsiTheme="minorEastAsia" w:eastAsiaTheme="minorEastAsia"/>
          <w:szCs w:val="24"/>
        </w:rPr>
        <w:t xml:space="preserve">响应文件</w:t>
      </w:r>
      <w:r>
        <w:rPr>
          <w:rFonts w:asciiTheme="minorEastAsia" w:hAnsiTheme="minorEastAsia" w:eastAsiaTheme="minorEastAsia"/>
          <w:szCs w:val="24"/>
        </w:rPr>
        <w:t xml:space="preserve">的人，如果</w:t>
      </w:r>
      <w:r>
        <w:rPr>
          <w:rFonts w:hint="eastAsia" w:asciiTheme="minorEastAsia" w:hAnsiTheme="minorEastAsia" w:eastAsiaTheme="minorEastAsia"/>
          <w:szCs w:val="24"/>
        </w:rPr>
        <w:t xml:space="preserve">磋商供应商</w:t>
      </w:r>
      <w:r>
        <w:rPr>
          <w:rFonts w:asciiTheme="minorEastAsia" w:hAnsiTheme="minorEastAsia" w:eastAsiaTheme="minorEastAsia"/>
          <w:szCs w:val="24"/>
        </w:rPr>
        <w:t xml:space="preserve">代表不是法人代表，须持有《法人代表授权</w:t>
      </w:r>
      <w:r>
        <w:rPr>
          <w:rFonts w:hint="eastAsia" w:asciiTheme="minorEastAsia" w:hAnsiTheme="minorEastAsia" w:eastAsiaTheme="minorEastAsia"/>
          <w:szCs w:val="24"/>
        </w:rPr>
        <w:t xml:space="preserve">委托</w:t>
      </w:r>
      <w:r>
        <w:rPr>
          <w:rFonts w:asciiTheme="minorEastAsia" w:hAnsiTheme="minorEastAsia" w:eastAsiaTheme="minorEastAsia"/>
          <w:szCs w:val="24"/>
        </w:rPr>
        <w:t xml:space="preserve">书》（详见</w:t>
      </w:r>
      <w:r>
        <w:rPr>
          <w:rFonts w:hint="eastAsia" w:asciiTheme="minorEastAsia" w:hAnsiTheme="minorEastAsia" w:eastAsiaTheme="minorEastAsia"/>
          <w:szCs w:val="24"/>
        </w:rPr>
        <w:t xml:space="preserve">附件</w:t>
      </w:r>
      <w:r>
        <w:rPr>
          <w:rFonts w:asciiTheme="minorEastAsia" w:hAnsiTheme="minorEastAsia" w:eastAsiaTheme="minorEastAsia"/>
          <w:szCs w:val="24"/>
        </w:rPr>
        <w:t xml:space="preserve">格式）</w:t>
      </w:r>
      <w:r>
        <w:rPr>
          <w:rFonts w:hint="eastAsia" w:asciiTheme="minorEastAsia" w:hAnsiTheme="minorEastAsia" w:eastAsiaTheme="minorEastAsia"/>
          <w:szCs w:val="24"/>
        </w:rPr>
        <w:t xml:space="preserve">。</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6</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磋商费用</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6.1无论磋商过程中的做法和结果如何，磋商供应商自行承担所有与参加磋商有关的全部费用。</w:t>
      </w:r>
      <w:r/>
    </w:p>
    <w:p>
      <w:pPr>
        <w:ind w:firstLine="24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7</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联合体（本项目不接受联合体，相关条款均不适用）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7.1.1 联合体各方中至少应当有一方应具备承担本磋商项目的相应资格条件。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7.1.3</w:t>
      </w:r>
      <w:r>
        <w:rPr>
          <w:rFonts w:hint="eastAsia" w:cs="宋体" w:asciiTheme="minorEastAsia" w:hAnsiTheme="minorEastAsia" w:eastAsiaTheme="minorEastAsia"/>
          <w:sz w:val="24"/>
          <w:szCs w:val="24"/>
        </w:rPr>
        <w:t xml:space="preserve">以联合体形式参加政府采购活动的，联合体各方不得再单独参加或者与其他供应商另外组成联合体参加同一合同项下的政府采购活动。</w:t>
      </w:r>
      <w:r>
        <w:rPr>
          <w:rFonts w:hint="eastAsia" w:asciiTheme="minorEastAsia" w:hAnsiTheme="minorEastAsia" w:eastAsiaTheme="minorEastAsia"/>
          <w:sz w:val="24"/>
          <w:szCs w:val="24"/>
        </w:rPr>
        <w:t xml:space="preserve">出现上述情况者，其磋商响应和与其有关的联合体的磋商响应均做无效响应处理。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7.1.4联合体成交的，联合体各方应当共同与采购人签订合同，就成交项目向采购人承担连带责任。</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7.2除非另有规定或说明，本磋商文件中“供应商”一词亦指联合体各成员。</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8</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磋商采购文件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8.1供应商获取磋商</w:t>
      </w:r>
      <w:r>
        <w:rPr>
          <w:rFonts w:asciiTheme="minorEastAsia" w:hAnsiTheme="minorEastAsia" w:eastAsiaTheme="minorEastAsia"/>
          <w:sz w:val="24"/>
          <w:szCs w:val="24"/>
        </w:rPr>
        <w:t xml:space="preserve">文件后，应仔细检查</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文件的所有内容，如有残缺等问题应向</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采购单位提出，否则，由此</w:t>
      </w:r>
      <w:r>
        <w:rPr>
          <w:rFonts w:hint="eastAsia" w:asciiTheme="minorEastAsia" w:hAnsiTheme="minorEastAsia" w:eastAsiaTheme="minorEastAsia"/>
          <w:sz w:val="24"/>
          <w:szCs w:val="24"/>
        </w:rPr>
        <w:t xml:space="preserve">产生</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影响</w:t>
      </w:r>
      <w:r>
        <w:rPr>
          <w:rFonts w:asciiTheme="minorEastAsia" w:hAnsiTheme="minorEastAsia" w:eastAsiaTheme="minorEastAsia"/>
          <w:sz w:val="24"/>
          <w:szCs w:val="24"/>
        </w:rPr>
        <w:t xml:space="preserve">由供应商自己承担。供应商同时应认真审阅</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文件中所有的事项、格式、条款和规范要求等，若供应商的响应文件没有按</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文件要求提交全部资料，或响应文件没有对</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文件做出实质性响应，其风险由供应商自行承担，并根据有关条款规定，该</w:t>
      </w:r>
      <w:r>
        <w:rPr>
          <w:rFonts w:hint="eastAsia" w:asciiTheme="minorEastAsia" w:hAnsiTheme="minorEastAsia" w:eastAsiaTheme="minorEastAsia"/>
          <w:sz w:val="24"/>
          <w:szCs w:val="24"/>
        </w:rPr>
        <w:t xml:space="preserve">响应</w:t>
      </w:r>
      <w:r>
        <w:rPr>
          <w:rFonts w:asciiTheme="minorEastAsia" w:hAnsiTheme="minorEastAsia" w:eastAsiaTheme="minorEastAsia"/>
          <w:sz w:val="24"/>
          <w:szCs w:val="24"/>
        </w:rPr>
        <w:t xml:space="preserve">有可能被拒绝。</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8.2供应商如有疑问需要澄清，请按照前附表进行询问，代理机构收到询问后应在三个工作日内予以解答。</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8.3 磋商文件及其补充文件不是直接从磋商采购单位处获得的，磋商采购单位对磋商文件及其补遗的真实性、完整性不承担任何责任。</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9.现场考察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供应商应按磋商文件中</w:t>
      </w:r>
      <w:r>
        <w:rPr>
          <w:rFonts w:asciiTheme="minorEastAsia" w:hAnsiTheme="minorEastAsia" w:eastAsiaTheme="minorEastAsia"/>
          <w:sz w:val="24"/>
          <w:szCs w:val="24"/>
        </w:rPr>
        <w:t xml:space="preserve">所述时间</w:t>
      </w:r>
      <w:r>
        <w:rPr>
          <w:rFonts w:hint="eastAsia" w:asciiTheme="minorEastAsia" w:hAnsiTheme="minorEastAsia" w:eastAsiaTheme="minorEastAsia"/>
          <w:sz w:val="24"/>
          <w:szCs w:val="24"/>
        </w:rPr>
        <w:t xml:space="preserve">和方式对有关现场和周围环境进行考察，以获取编制响应文件和签署合同所需的信息。考察现场所发生的费用由供应商自己承担。</w:t>
      </w:r>
      <w:r/>
    </w:p>
    <w:p>
      <w:pPr>
        <w:pStyle w:val="661"/>
        <w:ind w:firstLine="48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磋商采购单位向供应商提供的有关现场的资料和数据，是磋商采购单位现有的并认为能使供应商可利用的资料。磋商采购单位对供应商由此而做出的推论、理解和结论概不负责。</w:t>
      </w:r>
      <w:r/>
    </w:p>
    <w:p>
      <w:pPr>
        <w:pStyle w:val="661"/>
        <w:ind w:firstLine="48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rPr>
          <w:rFonts w:asciiTheme="minorEastAsia" w:hAnsiTheme="minorEastAsia" w:eastAsiaTheme="minorEastAsia"/>
          <w:szCs w:val="24"/>
        </w:rPr>
        <w:t xml:space="preserve">3 经</w:t>
      </w:r>
      <w:r>
        <w:rPr>
          <w:rFonts w:hint="eastAsia" w:asciiTheme="minorEastAsia" w:hAnsiTheme="minorEastAsia" w:eastAsiaTheme="minorEastAsia"/>
          <w:szCs w:val="24"/>
        </w:rPr>
        <w:t xml:space="preserve">磋商采购单位</w:t>
      </w:r>
      <w:r>
        <w:rPr>
          <w:rFonts w:asciiTheme="minorEastAsia" w:hAnsiTheme="minorEastAsia" w:eastAsiaTheme="minorEastAsia"/>
          <w:szCs w:val="24"/>
        </w:rPr>
        <w:t xml:space="preserve">允许，</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可为</w:t>
      </w:r>
      <w:r>
        <w:rPr>
          <w:rFonts w:hint="eastAsia" w:asciiTheme="minorEastAsia" w:hAnsiTheme="minorEastAsia" w:eastAsiaTheme="minorEastAsia"/>
          <w:szCs w:val="24"/>
        </w:rPr>
        <w:t xml:space="preserve">考察</w:t>
      </w:r>
      <w:r>
        <w:rPr>
          <w:rFonts w:asciiTheme="minorEastAsia" w:hAnsiTheme="minorEastAsia" w:eastAsiaTheme="minorEastAsia"/>
          <w:szCs w:val="24"/>
        </w:rPr>
        <w:t xml:space="preserve">目的进入</w:t>
      </w:r>
      <w:r>
        <w:rPr>
          <w:rFonts w:hint="eastAsia" w:asciiTheme="minorEastAsia" w:hAnsiTheme="minorEastAsia" w:eastAsiaTheme="minorEastAsia"/>
          <w:szCs w:val="24"/>
        </w:rPr>
        <w:t xml:space="preserve">磋商采购单位</w:t>
      </w:r>
      <w:r>
        <w:rPr>
          <w:rFonts w:asciiTheme="minorEastAsia" w:hAnsiTheme="minorEastAsia" w:eastAsiaTheme="minorEastAsia"/>
          <w:szCs w:val="24"/>
        </w:rPr>
        <w:t xml:space="preserve">的项目现场，但</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不得因此使</w:t>
      </w:r>
      <w:r>
        <w:rPr>
          <w:rFonts w:hint="eastAsia" w:asciiTheme="minorEastAsia" w:hAnsiTheme="minorEastAsia" w:eastAsiaTheme="minorEastAsia"/>
          <w:szCs w:val="24"/>
        </w:rPr>
        <w:t xml:space="preserve">磋商采购单位</w:t>
      </w:r>
      <w:r>
        <w:rPr>
          <w:rFonts w:asciiTheme="minorEastAsia" w:hAnsiTheme="minorEastAsia" w:eastAsiaTheme="minorEastAsia"/>
          <w:szCs w:val="24"/>
        </w:rPr>
        <w:t xml:space="preserve">承担有关的责任和蒙受损失。</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应承担</w:t>
      </w:r>
      <w:r>
        <w:rPr>
          <w:rFonts w:hint="eastAsia" w:asciiTheme="minorEastAsia" w:hAnsiTheme="minorEastAsia" w:eastAsiaTheme="minorEastAsia"/>
          <w:szCs w:val="24"/>
        </w:rPr>
        <w:t xml:space="preserve">考察</w:t>
      </w:r>
      <w:r>
        <w:rPr>
          <w:rFonts w:asciiTheme="minorEastAsia" w:hAnsiTheme="minorEastAsia" w:eastAsiaTheme="minorEastAsia"/>
          <w:szCs w:val="24"/>
        </w:rPr>
        <w:t xml:space="preserve">现场的责任和风险。</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9.4供应商</w:t>
      </w:r>
      <w:r>
        <w:rPr>
          <w:rFonts w:asciiTheme="minorEastAsia" w:hAnsiTheme="minorEastAsia" w:eastAsiaTheme="minorEastAsia"/>
          <w:sz w:val="24"/>
          <w:szCs w:val="24"/>
        </w:rPr>
        <w:t xml:space="preserve">应在现场</w:t>
      </w:r>
      <w:r>
        <w:rPr>
          <w:rFonts w:hint="eastAsia" w:asciiTheme="minorEastAsia" w:hAnsiTheme="minorEastAsia" w:eastAsiaTheme="minorEastAsia"/>
          <w:sz w:val="24"/>
          <w:szCs w:val="24"/>
        </w:rPr>
        <w:t xml:space="preserve">考察</w:t>
      </w:r>
      <w:r>
        <w:rPr>
          <w:rFonts w:asciiTheme="minorEastAsia" w:hAnsiTheme="minorEastAsia" w:eastAsiaTheme="minorEastAsia"/>
          <w:sz w:val="24"/>
          <w:szCs w:val="24"/>
        </w:rPr>
        <w:t xml:space="preserve">时，熟悉现场及周围交通道路等情况，以获得一切可能影响其投标的直接资料。</w:t>
      </w:r>
      <w:r>
        <w:rPr>
          <w:rFonts w:hint="eastAsia" w:asciiTheme="minorEastAsia" w:hAnsiTheme="minorEastAsia" w:eastAsiaTheme="minorEastAsia"/>
          <w:sz w:val="24"/>
          <w:szCs w:val="24"/>
        </w:rPr>
        <w:t xml:space="preserve">供应商成交</w:t>
      </w:r>
      <w:r>
        <w:rPr>
          <w:rFonts w:asciiTheme="minorEastAsia" w:hAnsiTheme="minorEastAsia" w:eastAsiaTheme="minorEastAsia"/>
          <w:sz w:val="24"/>
          <w:szCs w:val="24"/>
        </w:rPr>
        <w:t xml:space="preserve">后，不得以不完全了解现场情况为理由而向</w:t>
      </w:r>
      <w:r>
        <w:rPr>
          <w:rFonts w:hint="eastAsia" w:asciiTheme="minorEastAsia" w:hAnsiTheme="minorEastAsia" w:eastAsiaTheme="minorEastAsia"/>
          <w:sz w:val="24"/>
          <w:szCs w:val="24"/>
        </w:rPr>
        <w:t xml:space="preserve">磋商采购单位</w:t>
      </w:r>
      <w:r>
        <w:rPr>
          <w:rFonts w:asciiTheme="minorEastAsia" w:hAnsiTheme="minorEastAsia" w:eastAsiaTheme="minorEastAsia"/>
          <w:sz w:val="24"/>
          <w:szCs w:val="24"/>
        </w:rPr>
        <w:t xml:space="preserve">提出任何索赔的要求</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对此</w:t>
      </w:r>
      <w:r>
        <w:rPr>
          <w:rFonts w:hint="eastAsia" w:asciiTheme="minorEastAsia" w:hAnsiTheme="minorEastAsia" w:eastAsiaTheme="minorEastAsia"/>
          <w:sz w:val="24"/>
          <w:szCs w:val="24"/>
        </w:rPr>
        <w:t xml:space="preserve">磋商采购单位</w:t>
      </w:r>
      <w:r>
        <w:rPr>
          <w:rFonts w:asciiTheme="minorEastAsia" w:hAnsiTheme="minorEastAsia" w:eastAsiaTheme="minorEastAsia"/>
          <w:sz w:val="24"/>
          <w:szCs w:val="24"/>
        </w:rPr>
        <w:t xml:space="preserve">不承担任何责任并将不作任何答复与考虑。</w:t>
      </w:r>
      <w:r/>
    </w:p>
    <w:p>
      <w:pPr>
        <w:ind w:firstLine="463"/>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10</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磋商采购文件的澄清和修改</w:t>
      </w:r>
      <w:r/>
    </w:p>
    <w:p>
      <w:pPr>
        <w:ind w:firstLine="4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10.1在递交响应文件截止时间前，采购人、采购代理机构无论出于自己的考虑，还是出于对磋商供应商提问的澄清，均可对磋商文件用更正（补充）文件的方式进行修改。</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10.2采购人、采购代理机构对磋商文件的修改，将以更正（补充）文件的方式在苏州政府采购网上进行发布。更正（补充）文件将作为磋商文件的组成部分，对所有磋商供应商有约束力。</w:t>
      </w:r>
      <w:r/>
    </w:p>
    <w:p>
      <w:pPr>
        <w:ind w:firstLine="4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10.3为使磋商供应商有足够的时间按磋商文件的修改要求考虑修正响应文件，或出于其他原因，采购人、采购代理机构有权推迟截止日期和磋商日期。</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4磋商</w:t>
      </w:r>
      <w:r>
        <w:rPr>
          <w:rFonts w:asciiTheme="minorEastAsia" w:hAnsiTheme="minorEastAsia" w:eastAsiaTheme="minorEastAsia"/>
          <w:sz w:val="24"/>
          <w:szCs w:val="24"/>
        </w:rPr>
        <w:t xml:space="preserve">文件的澄清、修改、补充等内容均以</w:t>
      </w:r>
      <w:r>
        <w:rPr>
          <w:rFonts w:hint="eastAsia" w:asciiTheme="minorEastAsia" w:hAnsiTheme="minorEastAsia" w:eastAsiaTheme="minorEastAsia"/>
          <w:sz w:val="24"/>
          <w:szCs w:val="24"/>
        </w:rPr>
        <w:t xml:space="preserve">网上发布</w:t>
      </w:r>
      <w:r>
        <w:rPr>
          <w:rFonts w:asciiTheme="minorEastAsia" w:hAnsiTheme="minorEastAsia" w:eastAsiaTheme="minorEastAsia"/>
          <w:sz w:val="24"/>
          <w:szCs w:val="24"/>
        </w:rPr>
        <w:t xml:space="preserve">的内容为准。当</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文件的澄清、修改、补充等在同一内容的表述上不一致时，以</w:t>
      </w:r>
      <w:r>
        <w:rPr>
          <w:rFonts w:hint="eastAsia" w:asciiTheme="minorEastAsia" w:hAnsiTheme="minorEastAsia" w:eastAsiaTheme="minorEastAsia"/>
          <w:sz w:val="24"/>
          <w:szCs w:val="24"/>
        </w:rPr>
        <w:t xml:space="preserve">网上发布</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为准。</w:t>
      </w:r>
      <w:r/>
    </w:p>
    <w:p>
      <w:pPr>
        <w:ind w:firstLine="463"/>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响应文件计量单位和使用文字</w:t>
      </w:r>
      <w:r/>
    </w:p>
    <w:p>
      <w:pPr>
        <w:pStyle w:val="661"/>
        <w:ind w:firstLine="48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11.1响应文件中所使用的计量单位，除磋商文件中有特殊要求外，均</w:t>
      </w:r>
      <w:r>
        <w:rPr>
          <w:rFonts w:asciiTheme="minorEastAsia" w:hAnsiTheme="minorEastAsia" w:eastAsiaTheme="minorEastAsia"/>
          <w:szCs w:val="24"/>
        </w:rPr>
        <w:t xml:space="preserve">应使用中华人民共和国法定计量单位</w:t>
      </w:r>
      <w:r>
        <w:rPr>
          <w:rFonts w:hint="eastAsia" w:asciiTheme="minorEastAsia" w:hAnsiTheme="minorEastAsia" w:eastAsiaTheme="minorEastAsia"/>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响应文件的组成</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响应文件一（报价部分）</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格式见第三章</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.1.1</w:t>
      </w:r>
      <w:r>
        <w:rPr>
          <w:rFonts w:hint="eastAsia" w:asciiTheme="minorEastAsia" w:hAnsiTheme="minorEastAsia" w:eastAsiaTheme="minorEastAsia"/>
          <w:sz w:val="24"/>
          <w:szCs w:val="24"/>
        </w:rPr>
        <w:t xml:space="preserve">授权委托书（非法定代表人参加磋商的提供）；</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响应函；</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12.1.3响应总报价表；</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12.1.4响应分项报价表；</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响应文件二（资格及技术部分）：</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 </w:t>
      </w:r>
      <w:r>
        <w:rPr>
          <w:rFonts w:hint="eastAsia" w:asciiTheme="minorEastAsia" w:hAnsiTheme="minorEastAsia" w:eastAsiaTheme="minorEastAsia"/>
          <w:sz w:val="24"/>
          <w:szCs w:val="24"/>
        </w:rPr>
        <w:t xml:space="preserve">关于资格文件的声明函（格式见第三章）；</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.2 </w:t>
      </w:r>
      <w:r>
        <w:rPr>
          <w:rFonts w:hint="eastAsia" w:asciiTheme="minorEastAsia" w:hAnsiTheme="minorEastAsia" w:eastAsiaTheme="minorEastAsia"/>
          <w:sz w:val="24"/>
          <w:szCs w:val="24"/>
        </w:rPr>
        <w:t xml:space="preserve">磋商供应商情况表、供应商与其他单位存在控股、管理关系情况表（格式见第三章）；</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3磋商供应商法定代表人身份证扫描件；</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4磋商供应商代理人身份证扫描件（非法定代表人参加磋商的提供）；</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12.2.5磋商供应商证明其满足合格磋商供应商资格基本条件的证明材料:</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（1）具有独立承担民事责任的能力证明：包括法人或者其他组织的营业执照等证明文件，自然人身份证明扫描件；</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（2）具有良好的商业信誉和健全的财务会计制度证明：</w:t>
      </w:r>
      <w:r>
        <w:rPr>
          <w:rFonts w:asciiTheme="minorEastAsia" w:hAnsiTheme="minorEastAsia" w:eastAsiaTheme="minorEastAsia"/>
          <w:sz w:val="24"/>
          <w:szCs w:val="24"/>
        </w:rPr>
        <w:t xml:space="preserve">法人应提供最近一期的财务报</w:t>
      </w:r>
      <w:r>
        <w:rPr>
          <w:rFonts w:hint="eastAsia" w:asciiTheme="minorEastAsia" w:hAnsiTheme="minorEastAsia" w:eastAsiaTheme="minorEastAsia"/>
          <w:sz w:val="24"/>
          <w:szCs w:val="24"/>
        </w:rPr>
        <w:t xml:space="preserve">表</w:t>
      </w:r>
      <w:r>
        <w:rPr>
          <w:rFonts w:asciiTheme="minorEastAsia" w:hAnsiTheme="minorEastAsia" w:eastAsiaTheme="minorEastAsia"/>
          <w:sz w:val="24"/>
          <w:szCs w:val="24"/>
        </w:rPr>
        <w:t xml:space="preserve">，其他组织、自然人及成立未满一年的法人应提供银行出具的资信证明；</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）具备履行合同所必需的设备和专业技术能力的证明材料</w:t>
      </w:r>
      <w:r>
        <w:rPr>
          <w:rFonts w:hint="eastAsia" w:asciiTheme="minorEastAsia" w:hAnsiTheme="minorEastAsia" w:eastAsiaTheme="minorEastAsia"/>
          <w:sz w:val="24"/>
          <w:szCs w:val="24"/>
        </w:rPr>
        <w:t xml:space="preserve">扫描件或承诺函；</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扫描件；</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参加政府采购活动前三年内在经营活动中没有重大违法记录的书面声明函；</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12.2.6磋商供应商证明其满足合格磋商供应商特定资格要求的证明资料：有效期限内的承装（修、试）电力设施许可证（五级或五级以上）扫描件；</w:t>
      </w:r>
      <w:r/>
    </w:p>
    <w:p>
      <w:pPr>
        <w:ind w:firstLine="240"/>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sz w:val="24"/>
          <w:szCs w:val="24"/>
        </w:rPr>
        <w:t xml:space="preserve">12.2.7中小企业声明函（格式见第三章）或残疾人福利性单位声明函（格式见第三章）或监狱企业证明文件；</w:t>
      </w:r>
      <w:r>
        <w:rPr>
          <w:rFonts w:hint="eastAsia" w:asciiTheme="minorEastAsia" w:hAnsiTheme="minorEastAsia" w:eastAsiaTheme="minorEastAsia"/>
          <w:b/>
          <w:sz w:val="24"/>
          <w:szCs w:val="24"/>
          <w:u w:val="single"/>
        </w:rPr>
        <w:t xml:space="preserve">(注：若提供</w:t>
      </w:r>
      <w:r>
        <w:rPr>
          <w:rFonts w:asciiTheme="minorEastAsia" w:hAnsiTheme="minorEastAsia" w:eastAsiaTheme="minorEastAsia"/>
          <w:b/>
          <w:sz w:val="24"/>
          <w:szCs w:val="24"/>
          <w:u w:val="single"/>
        </w:rPr>
        <w:t xml:space="preserve">中小企业声明函</w:t>
      </w:r>
      <w:r>
        <w:rPr>
          <w:rFonts w:hint="eastAsia" w:asciiTheme="minorEastAsia" w:hAnsiTheme="minorEastAsia" w:eastAsiaTheme="minorEastAsia"/>
          <w:b/>
          <w:sz w:val="24"/>
          <w:szCs w:val="24"/>
          <w:u w:val="single"/>
        </w:rPr>
        <w:t xml:space="preserve">或残疾人福利性单位声明函或监狱企业证明文件须加盖有公章的彩色扫描件上传</w:t>
      </w:r>
      <w:r>
        <w:rPr>
          <w:rFonts w:asciiTheme="minorEastAsia" w:hAnsiTheme="minorEastAsia" w:eastAsiaTheme="minorEastAsia"/>
          <w:b/>
          <w:sz w:val="24"/>
          <w:szCs w:val="24"/>
          <w:u w:val="single"/>
        </w:rPr>
        <w:t xml:space="preserve">至电子投标文件</w:t>
      </w:r>
      <w:r>
        <w:rPr>
          <w:rFonts w:hint="eastAsia" w:asciiTheme="minorEastAsia" w:hAnsiTheme="minorEastAsia" w:eastAsiaTheme="minorEastAsia"/>
          <w:b/>
          <w:sz w:val="24"/>
          <w:szCs w:val="24"/>
          <w:u w:val="single"/>
        </w:rPr>
        <w:t xml:space="preserve">。)</w:t>
      </w:r>
      <w:r/>
    </w:p>
    <w:p>
      <w:pPr>
        <w:ind w:firstLine="460"/>
        <w:spacing w:line="360" w:lineRule="auto"/>
        <w:rPr>
          <w:rFonts w:hint="eastAsia" w:eastAsia="宋体" w:asciiTheme="minorEastAsia" w:hAnsiTheme="minorEastAsia"/>
          <w:bCs/>
          <w:sz w:val="24"/>
          <w:szCs w:val="24"/>
        </w:rPr>
      </w:pPr>
      <w:r>
        <w:rPr>
          <w:rFonts w:hint="eastAsia" w:asciiTheme="minorEastAsia" w:hAnsiTheme="minorEastAsia" w:eastAsiaTheme="minorEastAsia"/>
          <w:bCs/>
          <w:sz w:val="24"/>
          <w:szCs w:val="24"/>
        </w:rPr>
        <w:t xml:space="preserve">12.2.8</w:t>
      </w:r>
      <w:r>
        <w:rPr>
          <w:rFonts w:hint="eastAsia" w:ascii="宋体" w:hAnsi="宋体" w:eastAsia="宋体"/>
          <w:bCs/>
          <w:sz w:val="24"/>
          <w:szCs w:val="24"/>
        </w:rPr>
        <w:t xml:space="preserve">偏离表；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12.2.9服务方案；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12.2.10《人员配备一览表》（格式见第三章）及服务期间人员配备方案；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12.2.11《类似业绩一览表》（格式见第三章）；</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12磋商供应商证明其为合格磋商供应商及评分标准中涉及的证书、证明、文件等资料。</w:t>
      </w:r>
      <w:r/>
    </w:p>
    <w:p>
      <w:pPr>
        <w:pStyle w:val="661"/>
        <w:ind w:firstLine="241"/>
        <w:jc w:val="both"/>
        <w:spacing w:line="360" w:lineRule="auto"/>
        <w:tabs>
          <w:tab w:val="left" w:pos="0" w:leader="none"/>
        </w:tabs>
        <w:rPr>
          <w:rFonts w:hint="eastAsia" w:asciiTheme="minorEastAsia" w:hAnsiTheme="minorEastAsia" w:eastAsiaTheme="minorEastAsia"/>
          <w:b/>
          <w:bCs/>
          <w:szCs w:val="24"/>
        </w:rPr>
      </w:pPr>
      <w:r>
        <w:rPr>
          <w:rFonts w:hint="eastAsia" w:asciiTheme="minorEastAsia" w:hAnsiTheme="minorEastAsia" w:eastAsiaTheme="minorEastAsia"/>
          <w:b/>
          <w:bCs/>
          <w:szCs w:val="24"/>
        </w:rPr>
        <w:t xml:space="preserve">注：</w:t>
      </w:r>
      <w:r>
        <w:rPr>
          <w:rFonts w:hint="eastAsia" w:cs="宋体" w:asciiTheme="minorEastAsia" w:hAnsiTheme="minorEastAsia" w:eastAsiaTheme="minorEastAsia"/>
          <w:b/>
          <w:bCs/>
          <w:szCs w:val="24"/>
        </w:rPr>
        <w:t xml:space="preserve">供应商应提交以上12.1.1-12.2.8条完整响应文件。否则，响应文件将因资格条件不符或未实质响应磋商文件而被拒绝。</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12.3 响应文件由12.1、12.2款规定的内容共同组成。</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3</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电子响应文件编制及提交</w:t>
      </w:r>
      <w:r/>
    </w:p>
    <w:p>
      <w:pPr>
        <w:ind w:firstLine="480"/>
        <w:spacing w:line="360" w:lineRule="auto"/>
        <w:rPr>
          <w:rFonts w:hint="eastAsia" w:ascii="宋体" w:hAnsi="宋体" w:eastAsia="宋体"/>
          <w:b/>
          <w:bCs/>
          <w:sz w:val="24"/>
          <w:szCs w:val="24"/>
        </w:rPr>
      </w:pPr>
      <w:r>
        <w:rPr>
          <w:rFonts w:hint="eastAsia" w:ascii="宋体" w:hAnsi="宋体" w:eastAsia="宋体"/>
          <w:sz w:val="24"/>
          <w:szCs w:val="24"/>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hint="eastAsia" w:ascii="宋体" w:hAnsi="宋体" w:eastAsia="宋体"/>
          <w:b/>
          <w:bCs/>
          <w:sz w:val="24"/>
          <w:szCs w:val="24"/>
        </w:rPr>
        <w:t xml:space="preserve">电子投标（响应）文件制作完成后请于上传截止前成功上传，未按要求线上递交电子投标（响应）文件将被拒收。</w:t>
      </w:r>
      <w:r/>
    </w:p>
    <w:p>
      <w:pPr>
        <w:pStyle w:val="757"/>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13.2电子投标（响应）文件制作工具下载：</w:t>
      </w:r>
      <w:r/>
    </w:p>
    <w:p>
      <w:pPr>
        <w:pStyle w:val="757"/>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电子投标文件制作工具下载：详见苏州市政府采购网-苏采云登陆页面右下角点击驱动下载。使用指南见《苏采云系统供应商操作手册》。</w:t>
      </w:r>
      <w:r/>
    </w:p>
    <w:p>
      <w:pPr>
        <w:pStyle w:val="757"/>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13.3电子投标（响应）文件制作与提交：</w:t>
      </w:r>
      <w:r/>
    </w:p>
    <w:p>
      <w:pPr>
        <w:pStyle w:val="757"/>
        <w:ind w:firstLine="48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供应商根据《苏采云系统供应商操作手册》进行操作。制作电子投标文件时必须与投标文件制作软件目录一一对应，将相关资料上传至相应模块。</w:t>
      </w:r>
      <w:r>
        <w:rPr>
          <w:rFonts w:hint="eastAsia" w:ascii="宋体" w:hAnsi="宋体" w:eastAsia="宋体" w:cs="宋体"/>
          <w:b/>
          <w:sz w:val="24"/>
          <w:szCs w:val="24"/>
        </w:rPr>
        <w:t xml:space="preserve">需对投标（响应）文件中涉及的扫描件（复印件）及需要加盖公章的部分进行签章，否则视为未提供相对应项。</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13.4投标</w:t>
      </w:r>
      <w:r>
        <w:rPr>
          <w:rFonts w:hint="eastAsia" w:ascii="宋体" w:hAnsi="宋体" w:eastAsia="宋体" w:cs="宋体"/>
          <w:b/>
          <w:bCs/>
          <w:sz w:val="24"/>
          <w:szCs w:val="24"/>
        </w:rPr>
        <w:t xml:space="preserve">（响应）</w:t>
      </w:r>
      <w:r>
        <w:rPr>
          <w:rFonts w:hint="eastAsia" w:ascii="宋体" w:hAnsi="宋体" w:eastAsia="宋体" w:cs="宋体"/>
          <w:b/>
          <w:sz w:val="24"/>
          <w:szCs w:val="24"/>
        </w:rPr>
        <w:t xml:space="preserve">文件制作完成后导出投标</w:t>
      </w:r>
      <w:r>
        <w:rPr>
          <w:rFonts w:hint="eastAsia" w:ascii="宋体" w:hAnsi="宋体" w:eastAsia="宋体" w:cs="宋体"/>
          <w:b/>
          <w:bCs/>
          <w:sz w:val="24"/>
          <w:szCs w:val="24"/>
        </w:rPr>
        <w:t xml:space="preserve">（响应）</w:t>
      </w:r>
      <w:r>
        <w:rPr>
          <w:rFonts w:hint="eastAsia" w:ascii="宋体" w:hAnsi="宋体" w:eastAsia="宋体" w:cs="宋体"/>
          <w:b/>
          <w:sz w:val="24"/>
          <w:szCs w:val="24"/>
        </w:rPr>
        <w:t xml:space="preserve">文件，在“参与详情”页面上传已制作完成的投标（响应）文件。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13.5投标（响应）文件提交后，供应商可通过模拟解密操作检测投标（响应）文件是否可以正常解密。</w:t>
      </w:r>
      <w:r/>
    </w:p>
    <w:p>
      <w:pPr>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13.6</w:t>
      </w:r>
      <w:r>
        <w:rPr>
          <w:rFonts w:hint="eastAsia" w:ascii="宋体" w:hAnsi="宋体" w:eastAsia="宋体"/>
          <w:b/>
          <w:sz w:val="24"/>
          <w:szCs w:val="24"/>
          <w:u w:val="single"/>
        </w:rPr>
        <w:t xml:space="preserve">因本章“12.响应文件的组成及要求”要求的</w:t>
      </w:r>
      <w:r>
        <w:rPr>
          <w:rFonts w:ascii="宋体" w:hAnsi="宋体" w:eastAsia="宋体"/>
          <w:b/>
          <w:sz w:val="24"/>
          <w:szCs w:val="24"/>
          <w:u w:val="single"/>
        </w:rPr>
        <w:t xml:space="preserve">中小企业声明函</w:t>
      </w:r>
      <w:r>
        <w:rPr>
          <w:rFonts w:hint="eastAsia" w:ascii="宋体" w:hAnsi="宋体" w:eastAsia="宋体"/>
          <w:b/>
          <w:sz w:val="24"/>
          <w:szCs w:val="24"/>
          <w:u w:val="single"/>
        </w:rPr>
        <w:t xml:space="preserve">、残疾人福利性单位声明函要求的文件需在成交公告时对外公示，故磋商供应商如涉及需要提供“12.响应文件的组成及要求”要求的</w:t>
      </w:r>
      <w:r>
        <w:rPr>
          <w:rFonts w:ascii="宋体" w:hAnsi="宋体" w:eastAsia="宋体"/>
          <w:b/>
          <w:sz w:val="24"/>
          <w:szCs w:val="24"/>
          <w:u w:val="single"/>
        </w:rPr>
        <w:t xml:space="preserve">中小企业声明函</w:t>
      </w:r>
      <w:r>
        <w:rPr>
          <w:rFonts w:hint="eastAsia" w:ascii="宋体" w:hAnsi="宋体" w:eastAsia="宋体"/>
          <w:b/>
          <w:sz w:val="24"/>
          <w:szCs w:val="24"/>
          <w:u w:val="single"/>
        </w:rPr>
        <w:t xml:space="preserve">、残疾人福利性单位声明函的文件时，必须将签章上传至电子投标文件中。</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13.7供应商应在采购系统中选择已制作好的响应文件进行上传，上传必须在投标（响应）截止时间前完成。</w:t>
      </w:r>
      <w:r>
        <w:rPr>
          <w:rFonts w:hint="eastAsia" w:ascii="宋体" w:hAnsi="宋体" w:eastAsia="宋体" w:cs="宋体"/>
          <w:b/>
          <w:bCs/>
          <w:sz w:val="24"/>
          <w:szCs w:val="24"/>
        </w:rPr>
        <w:t xml:space="preserve">未按要求成功上传的投标（响应）文件视为未递交。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13.8联合体投标：本项目不涉及。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如招标（采购）公告中允许联合体投标，联合体投标的投标（响应）文件制作上传操作如下：</w:t>
      </w:r>
      <w:r/>
    </w:p>
    <w:p>
      <w:pPr>
        <w:ind w:firstLine="480"/>
        <w:spacing w:line="360" w:lineRule="auto"/>
        <w:tabs>
          <w:tab w:val="left" w:pos="142" w:leader="none"/>
          <w:tab w:val="left" w:pos="600" w:leader="none"/>
        </w:tabs>
        <w:rPr>
          <w:rFonts w:eastAsia="宋体"/>
          <w:sz w:val="24"/>
          <w:szCs w:val="24"/>
        </w:rPr>
      </w:pPr>
      <w:r>
        <w:rPr>
          <w:rFonts w:hint="eastAsia" w:eastAsia="宋体"/>
          <w:sz w:val="24"/>
          <w:szCs w:val="24"/>
        </w:rPr>
        <w:t xml:space="preserve">第一步：在投标（响应）文件中上传联合体投标协议书。</w:t>
      </w:r>
      <w:r/>
    </w:p>
    <w:p>
      <w:pPr>
        <w:ind w:firstLine="480"/>
        <w:spacing w:line="360" w:lineRule="auto"/>
        <w:tabs>
          <w:tab w:val="left" w:pos="142" w:leader="none"/>
          <w:tab w:val="left" w:pos="600" w:leader="none"/>
        </w:tabs>
        <w:rPr>
          <w:rFonts w:eastAsia="宋体"/>
          <w:sz w:val="24"/>
          <w:szCs w:val="24"/>
        </w:rPr>
      </w:pPr>
      <w:r>
        <w:rPr>
          <w:rFonts w:hint="eastAsia" w:eastAsia="宋体"/>
          <w:sz w:val="24"/>
          <w:szCs w:val="24"/>
        </w:rPr>
        <w:t xml:space="preserve">第二步</w:t>
      </w:r>
      <w:r>
        <w:rPr>
          <w:rFonts w:hint="eastAsia"/>
          <w:sz w:val="24"/>
          <w:szCs w:val="24"/>
        </w:rPr>
        <w:t xml:space="preserve">：</w:t>
      </w:r>
      <w:r>
        <w:rPr>
          <w:rFonts w:hint="eastAsia" w:eastAsia="宋体"/>
          <w:sz w:val="24"/>
          <w:szCs w:val="24"/>
        </w:rPr>
        <w:t xml:space="preserve">在投标（响应）文件中，由联合体中的牵头人制作投标（响应）文件。</w:t>
      </w:r>
      <w:r/>
    </w:p>
    <w:p>
      <w:pPr>
        <w:ind w:firstLine="482"/>
        <w:spacing w:line="360" w:lineRule="auto"/>
        <w:tabs>
          <w:tab w:val="left" w:pos="502" w:leader="none"/>
        </w:tabs>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备注</w:t>
      </w:r>
      <w:r>
        <w:rPr>
          <w:rFonts w:ascii="宋体" w:hAnsi="宋体" w:eastAsia="宋体" w:cs="宋体"/>
          <w:b/>
          <w:sz w:val="24"/>
          <w:szCs w:val="24"/>
          <w:lang w:val="zh-CN"/>
        </w:rPr>
        <w:t xml:space="preserve">：</w:t>
      </w:r>
      <w:r>
        <w:rPr>
          <w:rFonts w:hint="eastAsia" w:ascii="宋体" w:hAnsi="宋体" w:eastAsia="宋体" w:cs="宋体"/>
          <w:b/>
          <w:sz w:val="24"/>
          <w:szCs w:val="24"/>
          <w:lang w:val="zh-CN"/>
        </w:rPr>
        <w:t xml:space="preserve">响应文件中的CA证书签章为有效签名章。</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4</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报价（编制）要求的说明</w:t>
      </w:r>
      <w:r/>
    </w:p>
    <w:p>
      <w:pPr>
        <w:pStyle w:val="661"/>
        <w:ind w:firstLine="480"/>
        <w:jc w:val="both"/>
        <w:spacing w:line="360" w:lineRule="auto"/>
        <w:rPr>
          <w:rFonts w:hint="eastAsia" w:asciiTheme="minorEastAsia" w:hAnsiTheme="minorEastAsia" w:eastAsiaTheme="minorEastAsia"/>
          <w:szCs w:val="24"/>
        </w:rPr>
      </w:pPr>
      <w:r>
        <w:rPr>
          <w:rFonts w:asciiTheme="minorEastAsia" w:hAnsiTheme="minorEastAsia" w:eastAsiaTheme="minorEastAsia"/>
          <w:bCs/>
          <w:szCs w:val="24"/>
        </w:rPr>
        <w:t xml:space="preserve">1</w:t>
      </w:r>
      <w:r>
        <w:rPr>
          <w:rFonts w:hint="eastAsia" w:asciiTheme="minorEastAsia" w:hAnsiTheme="minorEastAsia" w:eastAsiaTheme="minorEastAsia"/>
          <w:bCs/>
          <w:szCs w:val="24"/>
        </w:rPr>
        <w:t xml:space="preserve">4</w:t>
      </w:r>
      <w:r>
        <w:rPr>
          <w:rFonts w:asciiTheme="minorEastAsia" w:hAnsiTheme="minorEastAsia" w:eastAsiaTheme="minorEastAsia"/>
          <w:bCs/>
          <w:szCs w:val="24"/>
        </w:rPr>
        <w:t xml:space="preserve">.1</w:t>
      </w:r>
      <w:r>
        <w:rPr>
          <w:rFonts w:hint="eastAsia" w:asciiTheme="minorEastAsia" w:hAnsiTheme="minorEastAsia" w:eastAsiaTheme="minorEastAsia"/>
          <w:bCs/>
          <w:szCs w:val="24"/>
        </w:rPr>
        <w:t xml:space="preserve">除非合同中另有规定，磋商供应商对《响应报价表》中的报价应包括</w:t>
      </w:r>
      <w:r>
        <w:rPr>
          <w:rFonts w:hint="eastAsia" w:cs="宋体" w:asciiTheme="minorEastAsia" w:hAnsiTheme="minorEastAsia" w:eastAsiaTheme="minorEastAsia"/>
          <w:szCs w:val="24"/>
          <w:lang w:val="zh-CN"/>
        </w:rPr>
        <w:t xml:space="preserve">但不限于完成本项目所</w:t>
      </w:r>
      <w:r>
        <w:rPr>
          <w:rFonts w:hint="eastAsia" w:asciiTheme="minorEastAsia" w:hAnsiTheme="minorEastAsia" w:eastAsiaTheme="minorEastAsia"/>
          <w:szCs w:val="24"/>
          <w:lang w:val="zh-CN"/>
        </w:rPr>
        <w:t xml:space="preserve">需全部费用</w:t>
      </w:r>
      <w:r>
        <w:rPr>
          <w:rFonts w:hint="eastAsia" w:ascii="宋体" w:hAnsi="宋体" w:eastAsia="宋体" w:cs="宋体"/>
          <w:szCs w:val="24"/>
          <w:lang w:bidi="ar"/>
        </w:rPr>
        <w:t xml:space="preserve">，包含各种税费及政策性文件规定及合同包含的所有风险、责任等各项应有费用。除非合同条款中另有规定，否则合同价格在合同实施期间不因市场因素、政策规定变更因素等任何因素调整。 </w:t>
      </w:r>
      <w:r/>
    </w:p>
    <w:p>
      <w:pPr>
        <w:ind w:firstLine="480"/>
        <w:spacing w:line="360" w:lineRule="auto"/>
        <w:rPr>
          <w:rFonts w:hint="eastAsia" w:asciiTheme="minorEastAsia" w:hAnsiTheme="minorEastAsia" w:eastAsiaTheme="minorEastAsia"/>
          <w:sz w:val="24"/>
          <w:szCs w:val="24"/>
        </w:rPr>
      </w:pPr>
      <w:r/>
      <w:bookmarkStart w:id="39" w:name="_Toc291668809"/>
      <w:r>
        <w:rPr>
          <w:rFonts w:hint="eastAsia" w:asciiTheme="minorEastAsia" w:hAnsiTheme="minorEastAsia" w:eastAsiaTheme="minorEastAsia"/>
          <w:sz w:val="24"/>
          <w:szCs w:val="24"/>
        </w:rPr>
        <w:t xml:space="preserve">14.2</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报价编制要求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14.2.1根据提供的</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文件及有关资料单独编制相关的</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报价并汇总填入《响应报价表》；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供应商应按《响应报价表》中的全部服务计算单价和总价。《响应报价表》中的每一单项均应计算并填写单价和总价。</w:t>
      </w:r>
      <w:r>
        <w:rPr>
          <w:rFonts w:hint="eastAsia" w:ascii="宋体" w:hAnsi="宋体" w:eastAsia="宋体"/>
          <w:sz w:val="24"/>
          <w:szCs w:val="24"/>
        </w:rPr>
        <w:t xml:space="preserve">如发现响应报价中有错算现象，一旦成交，供应商自行承担错算这部分的经</w:t>
      </w:r>
      <w:r>
        <w:rPr>
          <w:rFonts w:hint="eastAsia" w:asciiTheme="minorEastAsia" w:hAnsiTheme="minorEastAsia" w:eastAsiaTheme="minorEastAsia"/>
          <w:sz w:val="24"/>
          <w:szCs w:val="24"/>
        </w:rPr>
        <w:t xml:space="preserve">济损失。</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14.4</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供应商应对</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文件内所要采购的全部内容进行报价，只响应其中部分内容者，其响应文件将被拒绝。但如果</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文件要求分标段磋商的，则</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供应商可以有选择地只响应其中一个或几个标段，也可以投全部标段，但各标段应分别计算填写单价和总价。</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14.5一项内容只允许一个报价，采购人不接受任何有选择性的报价。</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14.6响应文件报价中的单价和总价全部采用人民币表示，除非合同的特殊条款另有规定。</w:t>
      </w:r>
      <w:r/>
    </w:p>
    <w:p>
      <w:pPr>
        <w:pStyle w:val="661"/>
        <w:ind w:firstLine="241"/>
        <w:jc w:val="both"/>
        <w:spacing w:line="360" w:lineRule="auto"/>
        <w:rPr>
          <w:rFonts w:hint="eastAsia" w:asciiTheme="minorEastAsia" w:hAnsiTheme="minorEastAsia" w:eastAsiaTheme="minorEastAsia"/>
          <w:b/>
          <w:szCs w:val="24"/>
        </w:rPr>
      </w:pPr>
      <w:r>
        <w:rPr>
          <w:rFonts w:asciiTheme="minorEastAsia" w:hAnsiTheme="minorEastAsia" w:eastAsiaTheme="minorEastAsia"/>
          <w:b/>
          <w:szCs w:val="24"/>
        </w:rPr>
        <w:t xml:space="preserve">1</w:t>
      </w:r>
      <w:r>
        <w:rPr>
          <w:rFonts w:hint="eastAsia" w:asciiTheme="minorEastAsia" w:hAnsiTheme="minorEastAsia" w:eastAsiaTheme="minorEastAsia"/>
          <w:b/>
          <w:szCs w:val="24"/>
        </w:rPr>
        <w:t xml:space="preserve">5</w:t>
      </w:r>
      <w:r>
        <w:rPr>
          <w:rFonts w:asciiTheme="minorEastAsia" w:hAnsiTheme="minorEastAsia" w:eastAsiaTheme="minorEastAsia"/>
          <w:b/>
          <w:szCs w:val="24"/>
        </w:rPr>
        <w:t xml:space="preserve">. </w:t>
      </w:r>
      <w:r>
        <w:rPr>
          <w:rFonts w:hint="eastAsia" w:asciiTheme="minorEastAsia" w:hAnsiTheme="minorEastAsia" w:eastAsiaTheme="minorEastAsia"/>
          <w:b/>
          <w:szCs w:val="24"/>
        </w:rPr>
        <w:t xml:space="preserve">磋商保证金（本项目无需提交磋商保证金，本磋商文件内磋商保证金相关规定均不适用）。</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6</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响应文件的有效期</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响应文件的有效期见前附表，在此期间内，响应文件应保持有效。有效期短于这个规定期限的响应，将被拒绝。</w:t>
      </w:r>
      <w:r/>
    </w:p>
    <w:p>
      <w:pPr>
        <w:ind w:firstLine="24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17</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响应文件的标记</w:t>
      </w:r>
      <w:r/>
    </w:p>
    <w:p>
      <w:pPr>
        <w:pStyle w:val="757"/>
        <w:ind w:firstLine="480"/>
        <w:jc w:val="left"/>
        <w:spacing w:line="360" w:lineRule="auto"/>
        <w:rPr>
          <w:rFonts w:hint="eastAsia" w:ascii="宋体" w:hAnsi="宋体" w:eastAsia="宋体" w:cs="宋体"/>
          <w:b/>
          <w:sz w:val="24"/>
          <w:szCs w:val="24"/>
        </w:rPr>
      </w:pPr>
      <w:r>
        <w:rPr>
          <w:rFonts w:hint="eastAsia" w:cs="宋体" w:asciiTheme="minorEastAsia" w:hAnsiTheme="minorEastAsia" w:eastAsiaTheme="minorEastAsia"/>
          <w:sz w:val="24"/>
          <w:szCs w:val="24"/>
          <w:lang w:val="zh-CN"/>
        </w:rPr>
        <w:t xml:space="preserve">17.1磋商供应商</w:t>
      </w:r>
      <w:r>
        <w:rPr>
          <w:rFonts w:hint="eastAsia" w:ascii="宋体" w:hAnsi="宋体" w:eastAsia="宋体" w:cs="宋体"/>
          <w:sz w:val="24"/>
          <w:szCs w:val="24"/>
        </w:rPr>
        <w:t xml:space="preserve">应根据《苏采云系统供应商操作手册》进行操作。制作电子投标文件时必须与投标文件制作软件目录一一对应，将相关资料上传至相应模块。</w:t>
      </w:r>
      <w:r>
        <w:rPr>
          <w:rFonts w:hint="eastAsia" w:ascii="宋体" w:hAnsi="宋体" w:eastAsia="宋体" w:cs="宋体"/>
          <w:b/>
          <w:sz w:val="24"/>
          <w:szCs w:val="24"/>
        </w:rPr>
        <w:t xml:space="preserve">需对投标（响应）文件中涉及的扫描件（复印件）及需要加盖公章的部分进行签章，否则视为未提供相对应项。</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18</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截止时间</w:t>
      </w:r>
      <w:r/>
    </w:p>
    <w:p>
      <w:pPr>
        <w:ind w:firstLine="480"/>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电子响应文件按照制作要求在响应文件提交截止时间前上传系统提交。</w:t>
      </w:r>
      <w:r/>
    </w:p>
    <w:p>
      <w:pPr>
        <w:ind w:firstLine="480"/>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18.2磋商供应商应当在磋商文件要求的截止时间前，将响应文件上传系统，未按要求线上递交电子响应文件，采购人、采购代理机构或者磋商小组应当拒收。</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18.3在响应文件截止时间止采购人收到的响应文件递交份数少于三份，采购人有权宣布本次采购失败。</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19</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响应文件的修改和撤回</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磋商供应商在提交响应文件后可在系统中对其响应文件进行修改或撤销。</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19.2 开启后磋商供应商不得撤回响应文件。</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20</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磋商程序</w:t>
      </w:r>
      <w:r/>
    </w:p>
    <w:p>
      <w:pPr>
        <w:ind w:firstLine="240"/>
        <w:spacing w:line="360" w:lineRule="auto"/>
        <w:rPr>
          <w:rFonts w:hint="eastAsia" w:ascii="宋体" w:hAnsi="宋体" w:eastAsia="宋体"/>
          <w:b/>
          <w:sz w:val="24"/>
          <w:szCs w:val="24"/>
          <w:u w:val="single"/>
        </w:rPr>
      </w:pPr>
      <w:r>
        <w:rPr>
          <w:rFonts w:hint="eastAsia" w:ascii="宋体" w:hAnsi="宋体" w:eastAsia="宋体"/>
          <w:sz w:val="24"/>
          <w:szCs w:val="24"/>
        </w:rPr>
        <w:t xml:space="preserve">20.1</w:t>
      </w:r>
      <w:r>
        <w:rPr>
          <w:rFonts w:hint="eastAsia" w:ascii="宋体" w:hAnsi="宋体" w:eastAsia="宋体"/>
          <w:b/>
          <w:sz w:val="24"/>
          <w:szCs w:val="24"/>
        </w:rPr>
        <w:t xml:space="preserve">供应商不需到现场参加开标会</w:t>
      </w:r>
      <w:r>
        <w:rPr>
          <w:rFonts w:hint="eastAsia" w:ascii="宋体" w:hAnsi="宋体" w:eastAsia="宋体"/>
          <w:b/>
          <w:sz w:val="24"/>
          <w:szCs w:val="24"/>
          <w:u w:val="single"/>
        </w:rPr>
        <w:t xml:space="preserve">(但请及时关注系统公告栏及语音播报，以防错过二次报价)。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20.2线上参加（观看）开标会方式：</w:t>
      </w:r>
      <w:r>
        <w:rPr>
          <w:rFonts w:hint="eastAsia" w:ascii="宋体" w:hAnsi="宋体" w:eastAsia="宋体" w:cs="宋体"/>
          <w:sz w:val="24"/>
          <w:szCs w:val="24"/>
        </w:rPr>
        <w:t xml:space="preserve">苏州市政府采购网点击“</w:t>
      </w:r>
      <w:r>
        <w:rPr>
          <w:rFonts w:hint="eastAsia" w:ascii="宋体" w:hAnsi="宋体" w:eastAsia="宋体"/>
          <w:bCs/>
          <w:sz w:val="24"/>
          <w:szCs w:val="24"/>
        </w:rPr>
        <w:t xml:space="preserve">苏采云</w:t>
      </w:r>
      <w:r>
        <w:rPr>
          <w:rFonts w:hint="eastAsia" w:ascii="宋体" w:hAnsi="宋体" w:eastAsia="宋体" w:cs="宋体"/>
          <w:sz w:val="24"/>
          <w:szCs w:val="24"/>
        </w:rPr>
        <w:t xml:space="preserve">”进入交易系统，点击“开标大厅-我的项目”，找到对应项目进行线上参加（观看）</w:t>
      </w:r>
      <w:r>
        <w:rPr>
          <w:rFonts w:ascii="宋体" w:hAnsi="宋体" w:eastAsia="宋体"/>
          <w:sz w:val="24"/>
          <w:szCs w:val="24"/>
        </w:rPr>
        <w:t xml:space="preserve">。</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20.3开标时，供应商的响应文件须在供应商</w:t>
      </w:r>
      <w:r>
        <w:rPr>
          <w:rFonts w:ascii="宋体" w:hAnsi="宋体" w:eastAsia="宋体"/>
          <w:sz w:val="24"/>
          <w:szCs w:val="24"/>
        </w:rPr>
        <w:t xml:space="preserve">解密</w:t>
      </w:r>
      <w:r>
        <w:rPr>
          <w:rFonts w:hint="eastAsia" w:ascii="宋体" w:hAnsi="宋体" w:eastAsia="宋体"/>
          <w:sz w:val="24"/>
          <w:szCs w:val="24"/>
        </w:rPr>
        <w:t xml:space="preserve">环节进行解密，在解密时长倒计时结束前，供应商需解密完成，否则视为放弃本次投标（磋商）</w:t>
      </w:r>
      <w:r>
        <w:rPr>
          <w:rFonts w:ascii="宋体" w:hAnsi="宋体" w:eastAsia="宋体"/>
          <w:sz w:val="24"/>
          <w:szCs w:val="24"/>
        </w:rPr>
        <w:t xml:space="preserve">。</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20.5</w:t>
      </w:r>
      <w:r>
        <w:rPr>
          <w:rFonts w:hint="eastAsia" w:ascii="宋体" w:hAnsi="宋体" w:eastAsia="宋体" w:cs="宋体"/>
          <w:sz w:val="24"/>
          <w:szCs w:val="24"/>
        </w:rPr>
        <w:t xml:space="preserve">开评审结果在磋商结束后，供应商通过邮件进行咨询，未通过相关途径进行询问导致的对供应商不利的后果由供应商自行承担</w:t>
      </w:r>
      <w:r>
        <w:rPr>
          <w:rFonts w:hint="eastAsia" w:ascii="宋体" w:hAnsi="宋体" w:eastAsia="宋体"/>
          <w:sz w:val="24"/>
          <w:szCs w:val="24"/>
        </w:rPr>
        <w:t xml:space="preserve">。</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20.6本项目采用线上澄清：</w:t>
      </w:r>
      <w:r/>
    </w:p>
    <w:p>
      <w:pPr>
        <w:ind w:firstLine="600"/>
        <w:spacing w:line="360" w:lineRule="auto"/>
        <w:rPr>
          <w:rFonts w:hint="eastAsia" w:ascii="宋体" w:hAnsi="宋体" w:eastAsia="宋体"/>
          <w:sz w:val="24"/>
          <w:szCs w:val="24"/>
        </w:rPr>
      </w:pPr>
      <w:r>
        <w:rPr>
          <w:rFonts w:ascii="宋体" w:hAnsi="宋体" w:eastAsia="宋体"/>
          <w:sz w:val="24"/>
          <w:szCs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600"/>
        <w:spacing w:line="360" w:lineRule="auto"/>
        <w:rPr>
          <w:rFonts w:hint="eastAsia" w:ascii="宋体" w:hAnsi="宋体" w:eastAsia="宋体"/>
          <w:sz w:val="24"/>
          <w:szCs w:val="24"/>
        </w:rPr>
      </w:pPr>
      <w:r>
        <w:rPr>
          <w:rFonts w:hint="eastAsia" w:ascii="宋体" w:hAnsi="宋体" w:eastAsia="宋体"/>
          <w:sz w:val="24"/>
          <w:szCs w:val="24"/>
        </w:rPr>
        <w:t xml:space="preserve">评审中需要供应商进行澄清的通知会通过苏采云系统发出，供应商应及时登录采购系统查看澄清要求并在规定的时间内按要求进行线上答复，否则视为未实质性响应。</w:t>
      </w:r>
      <w:r/>
    </w:p>
    <w:p>
      <w:pPr>
        <w:pStyle w:val="666"/>
        <w:ind w:left="0" w:firstLine="480"/>
        <w:spacing w:line="360" w:lineRule="auto"/>
      </w:pPr>
      <w:r>
        <w:rPr>
          <w:rFonts w:hint="eastAsia" w:ascii="宋体" w:hAnsi="宋体" w:eastAsia="宋体"/>
          <w:sz w:val="24"/>
          <w:szCs w:val="24"/>
        </w:rPr>
        <w:t xml:space="preserve">有关澄清的答复应在系统内采用书面形式，该书面签复应有投标人签(盖)章，并将作为投标内容的一部分。</w:t>
      </w:r>
      <w:r/>
    </w:p>
    <w:p>
      <w:pPr>
        <w:pStyle w:val="666"/>
        <w:ind w:left="0" w:firstLine="480"/>
        <w:spacing w:line="360" w:lineRule="auto"/>
        <w:rPr>
          <w:rFonts w:hint="eastAsia" w:ascii="宋体" w:hAnsi="宋体" w:eastAsia="宋体"/>
          <w:sz w:val="24"/>
          <w:szCs w:val="24"/>
        </w:rPr>
      </w:pPr>
      <w:r>
        <w:rPr>
          <w:rFonts w:hint="eastAsia" w:ascii="宋体" w:hAnsi="宋体" w:eastAsia="宋体"/>
          <w:sz w:val="24"/>
          <w:szCs w:val="24"/>
        </w:rPr>
        <w:t xml:space="preserve">线上澄清答复的方式：当发起答疑澄清时，页面弹出处理答疑澄清消息菜单，点击反馈进入-点击【响应】-填写询问响应内容后，进行询问响应函签章。</w:t>
      </w:r>
      <w:r/>
    </w:p>
    <w:p>
      <w:pPr>
        <w:pStyle w:val="666"/>
        <w:ind w:left="0" w:firstLine="480"/>
        <w:spacing w:line="360" w:lineRule="auto"/>
        <w:rPr>
          <w:rFonts w:hint="eastAsia" w:ascii="宋体" w:hAnsi="宋体" w:eastAsia="宋体"/>
          <w:sz w:val="24"/>
          <w:szCs w:val="24"/>
        </w:rPr>
      </w:pPr>
      <w:r>
        <w:rPr>
          <w:rFonts w:hint="eastAsia" w:ascii="宋体" w:hAnsi="宋体" w:eastAsia="宋体"/>
          <w:sz w:val="24"/>
          <w:szCs w:val="24"/>
        </w:rPr>
        <w:t xml:space="preserve">评审结束后系统公告中会提示评审流程结束，供应商可离开电脑。</w:t>
      </w:r>
      <w:r/>
    </w:p>
    <w:p>
      <w:pPr>
        <w:ind w:firstLine="463"/>
        <w:spacing w:line="360" w:lineRule="auto"/>
        <w:rPr>
          <w:rFonts w:hint="eastAsia" w:ascii="宋体" w:hAnsi="宋体" w:eastAsia="宋体"/>
          <w:b/>
          <w:sz w:val="24"/>
          <w:szCs w:val="24"/>
          <w:u w:val="single"/>
        </w:rPr>
      </w:pPr>
      <w:r>
        <w:rPr>
          <w:rFonts w:hint="eastAsia" w:ascii="宋体" w:hAnsi="宋体" w:eastAsia="宋体"/>
          <w:b/>
          <w:bCs/>
          <w:sz w:val="24"/>
          <w:szCs w:val="24"/>
        </w:rPr>
        <w:t xml:space="preserve">20.7本项目采用线上二次报价</w:t>
      </w:r>
      <w:r>
        <w:rPr>
          <w:rFonts w:hint="eastAsia" w:ascii="宋体" w:hAnsi="宋体" w:eastAsia="宋体"/>
          <w:b/>
          <w:sz w:val="24"/>
          <w:szCs w:val="24"/>
          <w:u w:val="single"/>
        </w:rPr>
        <w:t xml:space="preserve">(及时关注“苏采云”系统公告栏和语音播报信息，以防错过二次报价)</w:t>
      </w:r>
      <w:r/>
    </w:p>
    <w:p>
      <w:pPr>
        <w:ind w:firstLine="482"/>
        <w:spacing w:line="360" w:lineRule="auto"/>
        <w:rPr>
          <w:rFonts w:eastAsia="宋体"/>
          <w:b/>
          <w:bCs/>
        </w:rPr>
      </w:pPr>
      <w:r>
        <w:rPr>
          <w:rFonts w:hint="eastAsia" w:ascii="宋体" w:hAnsi="宋体" w:eastAsia="宋体"/>
          <w:b/>
          <w:bCs/>
          <w:sz w:val="24"/>
          <w:szCs w:val="24"/>
        </w:rPr>
        <w:t xml:space="preserve">20.8供应商未按规定时间及要求递交二次报价的，视为放弃本次投标（响应）。</w:t>
      </w:r>
      <w:r/>
    </w:p>
    <w:p>
      <w:pPr>
        <w:ind w:firstLine="518"/>
        <w:spacing w:line="360" w:lineRule="auto"/>
        <w:tabs>
          <w:tab w:val="left" w:pos="260" w:leader="none"/>
        </w:tabs>
        <w:rPr>
          <w:rFonts w:hint="eastAsia" w:ascii="宋体" w:hAnsi="宋体" w:eastAsia="宋体"/>
          <w:b/>
          <w:sz w:val="24"/>
          <w:szCs w:val="24"/>
        </w:rPr>
      </w:pPr>
      <w:r>
        <w:rPr>
          <w:rFonts w:hint="eastAsia" w:ascii="宋体" w:hAnsi="宋体" w:eastAsia="宋体"/>
          <w:sz w:val="24"/>
          <w:szCs w:val="24"/>
        </w:rPr>
        <w:t xml:space="preserve">20.9</w:t>
      </w:r>
      <w:r>
        <w:rPr>
          <w:rFonts w:ascii="宋体" w:hAnsi="宋体" w:eastAsia="宋体"/>
          <w:sz w:val="24"/>
          <w:szCs w:val="24"/>
        </w:rPr>
        <w:t xml:space="preserve">磋商结束后，</w:t>
      </w:r>
      <w:r>
        <w:rPr>
          <w:rFonts w:hint="eastAsia" w:ascii="宋体" w:hAnsi="宋体" w:eastAsia="宋体"/>
          <w:sz w:val="24"/>
          <w:szCs w:val="24"/>
        </w:rPr>
        <w:t xml:space="preserve">磋商小组要求</w:t>
      </w:r>
      <w:r>
        <w:rPr>
          <w:rFonts w:ascii="宋体" w:hAnsi="宋体" w:eastAsia="宋体"/>
          <w:sz w:val="24"/>
          <w:szCs w:val="24"/>
        </w:rPr>
        <w:t xml:space="preserve">所有实质性响应的</w:t>
      </w:r>
      <w:r>
        <w:rPr>
          <w:rFonts w:hint="eastAsia" w:ascii="宋体" w:hAnsi="宋体" w:eastAsia="宋体"/>
          <w:sz w:val="24"/>
          <w:szCs w:val="24"/>
        </w:rPr>
        <w:t xml:space="preserve">供应商应登录采购系统并在规定时间内进行线上二次报价即最后报价，</w:t>
      </w:r>
      <w:r>
        <w:rPr>
          <w:rFonts w:ascii="宋体" w:hAnsi="宋体" w:eastAsia="宋体"/>
          <w:sz w:val="24"/>
          <w:szCs w:val="24"/>
        </w:rPr>
        <w:t xml:space="preserve">提交最后报价的供应商不</w:t>
      </w:r>
      <w:r>
        <w:rPr>
          <w:rFonts w:hint="eastAsia" w:ascii="宋体" w:hAnsi="宋体" w:eastAsia="宋体"/>
          <w:sz w:val="24"/>
          <w:szCs w:val="24"/>
        </w:rPr>
        <w:t xml:space="preserve">足3</w:t>
      </w:r>
      <w:r>
        <w:rPr>
          <w:rFonts w:ascii="宋体" w:hAnsi="宋体" w:eastAsia="宋体"/>
          <w:sz w:val="24"/>
          <w:szCs w:val="24"/>
        </w:rPr>
        <w:t xml:space="preserve">家</w:t>
      </w:r>
      <w:r>
        <w:rPr>
          <w:rFonts w:hint="eastAsia" w:ascii="宋体" w:hAnsi="宋体" w:eastAsia="宋体"/>
          <w:sz w:val="24"/>
          <w:szCs w:val="24"/>
        </w:rPr>
        <w:t xml:space="preserve">的，磋商采购失败</w:t>
      </w:r>
      <w:r>
        <w:rPr>
          <w:rFonts w:ascii="宋体" w:hAnsi="宋体" w:eastAsia="宋体"/>
          <w:sz w:val="24"/>
          <w:szCs w:val="24"/>
        </w:rPr>
        <w:t xml:space="preserve">。</w:t>
      </w:r>
      <w:r>
        <w:rPr>
          <w:rFonts w:hint="eastAsia" w:ascii="宋体" w:hAnsi="宋体" w:eastAsia="宋体"/>
          <w:sz w:val="24"/>
          <w:szCs w:val="24"/>
        </w:rPr>
        <w:t xml:space="preserve">除因磋商文件修改导致成本增加外，</w:t>
      </w:r>
      <w:r>
        <w:rPr>
          <w:rFonts w:hint="eastAsia" w:ascii="宋体" w:hAnsi="宋体" w:eastAsia="宋体"/>
          <w:b/>
          <w:sz w:val="24"/>
          <w:szCs w:val="24"/>
        </w:rPr>
        <w:t xml:space="preserve">最后报价不得高于一次报价，否则为无效响应报价。</w:t>
      </w:r>
      <w:r/>
    </w:p>
    <w:p>
      <w:pPr>
        <w:ind w:firstLine="480"/>
        <w:spacing w:line="360" w:lineRule="auto"/>
        <w:rPr>
          <w:rFonts w:hint="eastAsia" w:ascii="宋体" w:hAnsi="宋体" w:eastAsia="宋体"/>
          <w:color w:val="000000"/>
          <w:sz w:val="24"/>
          <w:szCs w:val="24"/>
        </w:rPr>
      </w:pPr>
      <w:r>
        <w:rPr>
          <w:rFonts w:hint="eastAsia" w:ascii="宋体" w:hAnsi="宋体" w:eastAsia="宋体"/>
          <w:bCs/>
          <w:sz w:val="24"/>
          <w:szCs w:val="24"/>
        </w:rPr>
        <w:t xml:space="preserve">20.10</w:t>
      </w:r>
      <w:r>
        <w:rPr>
          <w:rFonts w:ascii="宋体" w:hAnsi="宋体" w:eastAsia="宋体"/>
          <w:color w:val="000000"/>
          <w:sz w:val="24"/>
          <w:szCs w:val="24"/>
        </w:rPr>
        <w:t xml:space="preserve">经磋商确定最终采购需求和提交最后报价的供应商后，由磋商小组采用综合评分法对提交最后报价的供应商的响应文件和最后报价进行综合评分。</w:t>
      </w:r>
      <w:r/>
    </w:p>
    <w:p>
      <w:pPr>
        <w:ind w:firstLine="482"/>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20.11异常低价投标审查</w:t>
      </w:r>
      <w:r/>
    </w:p>
    <w:p>
      <w:pPr>
        <w:ind w:firstLine="482"/>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20.11.1 评标过程中出现下列情形之一的，评标委员会应当启动异常低价投标审查程序：</w:t>
      </w:r>
      <w:r/>
    </w:p>
    <w:p>
      <w:pPr>
        <w:ind w:firstLine="482"/>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482"/>
        <w:jc w:val="left"/>
        <w:spacing w:line="360" w:lineRule="auto"/>
        <w:widowControl/>
      </w:pPr>
      <w:r>
        <w:rPr>
          <w:rFonts w:hint="eastAsia" w:ascii="宋体" w:hAnsi="宋体" w:eastAsia="宋体" w:cs="宋体"/>
          <w:b/>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482"/>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（3）投标（响应）报价低于采购项目最高限价</w:t>
      </w:r>
      <w:r>
        <w:rPr>
          <w:rFonts w:ascii="宋体" w:hAnsi="宋体" w:eastAsia="宋体" w:cs="宋体"/>
          <w:b/>
          <w:color w:val="000000"/>
          <w:sz w:val="24"/>
          <w:szCs w:val="24"/>
        </w:rPr>
        <w:t xml:space="preserve">45%</w:t>
      </w:r>
      <w:r>
        <w:rPr>
          <w:rFonts w:hint="eastAsia" w:ascii="宋体" w:hAnsi="宋体" w:eastAsia="宋体" w:cs="宋体"/>
          <w:b/>
          <w:color w:val="000000"/>
          <w:sz w:val="24"/>
          <w:szCs w:val="24"/>
        </w:rPr>
        <w:t xml:space="preserve">的，即投标（响应）报价</w:t>
      </w:r>
      <w:r>
        <w:rPr>
          <w:rFonts w:ascii="宋体" w:hAnsi="宋体" w:eastAsia="宋体" w:cs="宋体"/>
          <w:b/>
          <w:color w:val="000000"/>
          <w:sz w:val="24"/>
          <w:szCs w:val="24"/>
        </w:rPr>
        <w:t xml:space="preserve">&lt;</w:t>
      </w:r>
      <w:r>
        <w:rPr>
          <w:rFonts w:hint="eastAsia" w:ascii="宋体" w:hAnsi="宋体" w:eastAsia="宋体" w:cs="宋体"/>
          <w:b/>
          <w:color w:val="000000"/>
          <w:sz w:val="24"/>
          <w:szCs w:val="24"/>
        </w:rPr>
        <w:t xml:space="preserve">采购项目最高限价</w:t>
      </w:r>
      <w:r>
        <w:rPr>
          <w:rFonts w:ascii="宋体" w:hAnsi="宋体" w:eastAsia="宋体" w:cs="宋体"/>
          <w:b/>
          <w:color w:val="000000"/>
          <w:sz w:val="24"/>
          <w:szCs w:val="24"/>
        </w:rPr>
        <w:t xml:space="preserve">×45%</w:t>
      </w:r>
      <w:r>
        <w:rPr>
          <w:rFonts w:hint="eastAsia" w:ascii="宋体" w:hAnsi="宋体" w:eastAsia="宋体" w:cs="宋体"/>
          <w:b/>
          <w:color w:val="000000"/>
          <w:sz w:val="24"/>
          <w:szCs w:val="24"/>
        </w:rPr>
        <w:t xml:space="preserve">；</w:t>
      </w:r>
      <w:r/>
    </w:p>
    <w:p>
      <w:pPr>
        <w:ind w:firstLine="482"/>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（4）评标委员会认定的供应商报价过低、有可能影响产品质量或者不能诚信履约的其他情形。</w:t>
      </w:r>
      <w:r/>
    </w:p>
    <w:p>
      <w:pPr>
        <w:ind w:firstLine="482"/>
        <w:jc w:val="left"/>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20.11.2启动异常低价投标审查后，评标委员会应当要求相关供应商在评标现场合理的时间内，提供项目具体成本测算等与报价合理性相关的书面说明材料及相关证明材料，对投标价格作出解释，包括但不限于原材料成</w:t>
      </w:r>
      <w:r>
        <w:rPr>
          <w:rFonts w:hint="eastAsia" w:ascii="宋体" w:hAnsi="宋体" w:eastAsia="宋体" w:cs="宋体"/>
          <w:b/>
          <w:color w:val="000000"/>
          <w:sz w:val="24"/>
          <w:szCs w:val="24"/>
        </w:rPr>
        <w:t xml:space="preserve">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20.12</w:t>
      </w:r>
      <w:r>
        <w:rPr>
          <w:rFonts w:ascii="宋体" w:hAnsi="宋体" w:eastAsia="宋体"/>
          <w:sz w:val="24"/>
          <w:szCs w:val="24"/>
        </w:rPr>
        <w:t xml:space="preserve">经磋商确定最终采购需求和提交最后报价的供应商后，由磋商小组采用综合评分法对提交最后报价的供应商的响应文件和最后报价进行综合评分。</w:t>
      </w:r>
      <w:r/>
    </w:p>
    <w:p>
      <w:pPr>
        <w:ind w:firstLine="460"/>
        <w:spacing w:line="360" w:lineRule="auto"/>
        <w:rPr>
          <w:rFonts w:hint="eastAsia" w:ascii="宋体" w:hAnsi="宋体" w:eastAsia="宋体"/>
          <w:sz w:val="24"/>
          <w:szCs w:val="24"/>
        </w:rPr>
      </w:pPr>
      <w:r>
        <w:rPr>
          <w:rFonts w:hint="eastAsia" w:ascii="宋体" w:hAnsi="宋体" w:eastAsia="宋体"/>
          <w:sz w:val="24"/>
          <w:szCs w:val="24"/>
        </w:rPr>
        <w:t xml:space="preserve">20.13</w:t>
      </w:r>
      <w:r>
        <w:rPr>
          <w:rFonts w:ascii="宋体" w:hAnsi="宋体" w:eastAsia="宋体"/>
          <w:sz w:val="24"/>
          <w:szCs w:val="24"/>
        </w:rPr>
        <w:t xml:space="preserve">由于</w:t>
      </w:r>
      <w:r>
        <w:rPr>
          <w:rFonts w:hint="eastAsia" w:ascii="宋体" w:hAnsi="宋体" w:eastAsia="宋体"/>
          <w:sz w:val="24"/>
          <w:szCs w:val="24"/>
        </w:rPr>
        <w:t xml:space="preserve">开标</w:t>
      </w:r>
      <w:r>
        <w:rPr>
          <w:rFonts w:ascii="宋体" w:hAnsi="宋体" w:eastAsia="宋体"/>
          <w:sz w:val="24"/>
          <w:szCs w:val="24"/>
        </w:rPr>
        <w:t xml:space="preserve">现场监控传输路径与开标信息传输路径不同，会造成网页显示时间与监控图像显示时间不同。</w:t>
      </w:r>
      <w:r/>
    </w:p>
    <w:p>
      <w:pPr>
        <w:ind w:firstLine="480"/>
        <w:spacing w:line="360" w:lineRule="auto"/>
        <w:rPr>
          <w:rFonts w:hint="eastAsia" w:ascii="宋体" w:hAnsi="宋体" w:eastAsia="宋体" w:cs="宋体"/>
          <w:sz w:val="24"/>
        </w:rPr>
      </w:pPr>
      <w:r>
        <w:rPr>
          <w:rFonts w:hint="eastAsia" w:ascii="宋体" w:hAnsi="宋体" w:eastAsia="宋体"/>
          <w:sz w:val="24"/>
          <w:szCs w:val="24"/>
        </w:rPr>
        <w:t xml:space="preserve">20.14</w:t>
      </w:r>
      <w:r>
        <w:rPr>
          <w:rFonts w:hint="eastAsia" w:ascii="宋体" w:hAnsi="宋体" w:eastAsia="宋体" w:cs="宋体"/>
          <w:sz w:val="24"/>
          <w:szCs w:val="24"/>
        </w:rPr>
        <w:t xml:space="preserve">技术支持</w:t>
      </w:r>
      <w:r/>
    </w:p>
    <w:p>
      <w:pPr>
        <w:pStyle w:val="679"/>
        <w:ind w:firstLine="240"/>
        <w:spacing w:before="0" w:beforeAutospacing="0" w:after="0" w:afterAutospacing="0" w:line="360" w:lineRule="auto"/>
        <w:shd w:val="clear" w:color="ffffff" w:fill="auto"/>
        <w:rPr>
          <w:rFonts w:hint="eastAsia"/>
        </w:rPr>
      </w:pPr>
      <w:r>
        <w:rPr>
          <w:rFonts w:hint="eastAsia"/>
        </w:rPr>
        <w:t xml:space="preserve">CA技术咨询电话：400-608-6099；</w:t>
      </w:r>
      <w:r/>
    </w:p>
    <w:p>
      <w:pPr>
        <w:pStyle w:val="679"/>
        <w:ind w:firstLine="240"/>
        <w:spacing w:before="0" w:beforeAutospacing="0" w:after="0" w:afterAutospacing="0" w:line="360" w:lineRule="auto"/>
        <w:shd w:val="clear" w:color="ffffff" w:fill="auto"/>
        <w:rPr>
          <w:rFonts w:hint="eastAsia"/>
        </w:rPr>
      </w:pPr>
      <w:r>
        <w:rPr>
          <w:rFonts w:hint="eastAsia"/>
        </w:rPr>
        <w:t xml:space="preserve">签章使用问题：025-83633811、025-83633812、15380932027、15371015030；</w:t>
      </w:r>
      <w:r/>
    </w:p>
    <w:p>
      <w:pPr>
        <w:pStyle w:val="679"/>
        <w:ind w:firstLine="240"/>
        <w:spacing w:before="0" w:beforeAutospacing="0" w:after="0" w:afterAutospacing="0" w:line="360" w:lineRule="auto"/>
        <w:shd w:val="clear" w:color="ffffff" w:fill="auto"/>
        <w:rPr>
          <w:rFonts w:hint="eastAsia"/>
        </w:rPr>
      </w:pPr>
      <w:r>
        <w:rPr>
          <w:rFonts w:hint="eastAsia"/>
        </w:rPr>
        <w:t xml:space="preserve">系统使用指导与咨询：联系电话：18261002950；QQ：3048755361、1315179389、895706745。</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磋商小组</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21.1磋商小组由采购人依法组建，由采购人代表、专家评委组成。</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21.2磋商小组与参加采购活动的供应商存在下列利害关系之一的，应当回避：</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（一）参加采购活动前三年内，与投标人存在劳动关系、或者担任过投标人的董事、监事，或者是投标人的控股股东或实际控制人；</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（二）与投标人的法定代表人或者负责人有夫妻、直系血亲、三代以内旁系血亲或者近姻亲关系；</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（三）与投标人有其他影响政府采购活动公平、公正进行的关系。</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磋商小组发现本人与参加采购活动的供应商有利害关系的，应当主动提出回避。采购人或采购代理机构发现评审专家与参加采购活动的供应商有利害关系的，应当要求其回避。</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21.3磋商小组负责具体的磋商事务，并独立履行以下职责：</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21.3.1审查响应文件是否符合磋商采购文件的要求，并作出评价；</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21.3.2可以要求磋商供应商对响应文件有关事项作出解释或澄清；</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21.3.3推荐成交候选磋商供应商名单；</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21.3.4向采购人或者有关部门报告非法干预磋商工作的行为。</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21.4磋商小组成员应当履行下列义务：</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21.4.1遵纪守法，客观、公正、廉洁地履行职责；</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21.4.2按照磋商采购文件规定的评审办法和评分标准进行评审，对评审意见承担个人责任；</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21.4.3对磋商过程和结果，以及磋商供应商的商业秘密保密；</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21.4.4参与评审报告的起草；</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21.4.5配合相关部门的投诉处理工作；</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21.4.6配合采购人答复磋商供应商提出的质疑。</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评审内容的保密</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2</w:t>
      </w: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磋商开始后，直到宣布授予成交单位合同为止，凡属于审查、澄清、评价和比较响应文件的所有资料，有关授予合同的信息都不应向磋商供应商或与评审无关的其他人泄露。</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2</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在响应文件的审查、澄清、评价和比较以及授予合同的过程中，磋商供应商对采购人和磋商小组施加影响的任何行为，都将取消其成交资格。</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2</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在评审期间，采购人将通过指定联络人与磋商供应商进行联系。</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3</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对响应文件初审</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磋商供应商的响应文件未按照本须知规定制作的；</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未按本须知规定提交资格文件；</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与磋商采购文件有重大偏离；</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磋商供应商拒绝修正错误；</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磋商供应商的报价是选择性的；</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磋商供应商的报价只投了部分内容；</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23.1.7 磋商供应商的响应文件出现了评标委员会认为不应当雷同的情况；</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23.1.8 经磋商小组认定磋商供应商的报价低于成本价的；</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23.1.9不同供应商的“机器码一致”的情形；</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23.1.10供应商所投标产品不符合招标文件中所列国家强制性标准的；</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23.1.11其他被磋商小组认定无效的情况。</w:t>
      </w:r>
      <w:r/>
    </w:p>
    <w:p>
      <w:pPr>
        <w:ind w:firstLine="463"/>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3.3磋商小组将对确定为实质性响应的文件进行审核，看其是否有计算上或累加上的算术错误，修正错误的原则如下：</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1响应文件的大写金额与小写金额不一致的，以大写金额为准；</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23.3.3对不同文字文本响应文件的解释发生异议的，以中文文本为准；</w:t>
      </w:r>
      <w:r/>
    </w:p>
    <w:p>
      <w:pPr>
        <w:ind w:firstLine="501"/>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3.4磋商供应商不同意以上修正，则其响应文件将被拒绝。</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24．项目的终止</w:t>
      </w:r>
      <w:r/>
    </w:p>
    <w:p>
      <w:pPr>
        <w:ind w:firstLine="241"/>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24.1</w:t>
      </w:r>
      <w:r>
        <w:rPr>
          <w:rFonts w:asciiTheme="minorEastAsia" w:hAnsiTheme="minorEastAsia" w:eastAsiaTheme="minorEastAsia"/>
          <w:b/>
          <w:sz w:val="24"/>
          <w:szCs w:val="24"/>
          <w:u w:val="single"/>
        </w:rPr>
        <w:t xml:space="preserve">出现下列情形之一的，</w:t>
      </w:r>
      <w:r>
        <w:rPr>
          <w:rFonts w:hint="eastAsia" w:asciiTheme="minorEastAsia" w:hAnsiTheme="minorEastAsia" w:eastAsiaTheme="minorEastAsia"/>
          <w:b/>
          <w:sz w:val="24"/>
          <w:szCs w:val="24"/>
          <w:u w:val="single"/>
        </w:rPr>
        <w:t xml:space="preserve">将</w:t>
      </w:r>
      <w:r>
        <w:rPr>
          <w:rFonts w:asciiTheme="minorEastAsia" w:hAnsiTheme="minorEastAsia" w:eastAsiaTheme="minorEastAsia"/>
          <w:b/>
          <w:sz w:val="24"/>
          <w:szCs w:val="24"/>
          <w:u w:val="single"/>
        </w:rPr>
        <w:t xml:space="preserve">终止</w:t>
      </w:r>
      <w:r>
        <w:rPr>
          <w:rFonts w:hint="eastAsia" w:asciiTheme="minorEastAsia" w:hAnsiTheme="minorEastAsia" w:eastAsiaTheme="minorEastAsia"/>
          <w:b/>
          <w:sz w:val="24"/>
          <w:szCs w:val="24"/>
          <w:u w:val="single"/>
        </w:rPr>
        <w:t xml:space="preserve">竞争性磋商</w:t>
      </w:r>
      <w:r>
        <w:rPr>
          <w:rFonts w:asciiTheme="minorEastAsia" w:hAnsiTheme="minorEastAsia" w:eastAsiaTheme="minorEastAsia"/>
          <w:b/>
          <w:sz w:val="24"/>
          <w:szCs w:val="24"/>
          <w:u w:val="single"/>
        </w:rPr>
        <w:t xml:space="preserve">采购活动：</w:t>
      </w:r>
      <w:r/>
    </w:p>
    <w:p>
      <w:pPr>
        <w:ind w:firstLine="482"/>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24.1.1</w:t>
      </w:r>
      <w:r>
        <w:rPr>
          <w:rFonts w:asciiTheme="minorEastAsia" w:hAnsiTheme="minorEastAsia" w:eastAsiaTheme="minorEastAsia"/>
          <w:b/>
          <w:sz w:val="24"/>
          <w:szCs w:val="24"/>
          <w:u w:val="single"/>
        </w:rPr>
        <w:t xml:space="preserve">因情况变化，不再符合规定的</w:t>
      </w:r>
      <w:r>
        <w:rPr>
          <w:rFonts w:hint="eastAsia" w:asciiTheme="minorEastAsia" w:hAnsiTheme="minorEastAsia" w:eastAsiaTheme="minorEastAsia"/>
          <w:b/>
          <w:sz w:val="24"/>
          <w:szCs w:val="24"/>
          <w:u w:val="single"/>
        </w:rPr>
        <w:t xml:space="preserve">竞争性磋商</w:t>
      </w:r>
      <w:r>
        <w:rPr>
          <w:rFonts w:asciiTheme="minorEastAsia" w:hAnsiTheme="minorEastAsia" w:eastAsiaTheme="minorEastAsia"/>
          <w:b/>
          <w:sz w:val="24"/>
          <w:szCs w:val="24"/>
          <w:u w:val="single"/>
        </w:rPr>
        <w:t xml:space="preserve">采购方式适用情形的；</w:t>
      </w:r>
      <w:r/>
    </w:p>
    <w:p>
      <w:pPr>
        <w:ind w:firstLine="482"/>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24.1.2</w:t>
      </w:r>
      <w:r>
        <w:rPr>
          <w:rFonts w:asciiTheme="minorEastAsia" w:hAnsiTheme="minorEastAsia" w:eastAsiaTheme="minorEastAsia"/>
          <w:b/>
          <w:sz w:val="24"/>
          <w:szCs w:val="24"/>
          <w:u w:val="single"/>
        </w:rPr>
        <w:t xml:space="preserve">出现影响采购公正的违法、违规行为的；</w:t>
      </w:r>
      <w:r/>
    </w:p>
    <w:p>
      <w:pPr>
        <w:ind w:firstLine="241"/>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24.1.3实质性响应磋商文件不满三家或进入二次报价的不满三家或二次报价在采购预算内不满三家的。</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5</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响应文件的评价和比较</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25</w:t>
      </w: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磋商小组将仅对按照本须知有关规定确定为实质性响应磋商采购文件要求的响应文件进行评价和比较。</w:t>
      </w:r>
      <w:r/>
    </w:p>
    <w:p>
      <w:pPr>
        <w:ind w:firstLine="501"/>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25.2评审办法</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采购人授权磋商小组根据本文件规定的成交原则，在</w:t>
      </w:r>
      <w:r>
        <w:rPr>
          <w:rFonts w:asciiTheme="minorEastAsia" w:hAnsiTheme="minorEastAsia" w:eastAsiaTheme="minorEastAsia"/>
          <w:sz w:val="24"/>
          <w:szCs w:val="24"/>
        </w:rPr>
        <w:t xml:space="preserve">响应文件满足磋商文件全部实质性要求且按评审因素的量化指标评审得分最高的磋商供应商为成交供应商。</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评标委员会严格按照磋商采购文件的要求、条件、合格性评审办法，对磋商供应商所</w:t>
      </w:r>
      <w:r>
        <w:rPr>
          <w:rFonts w:asciiTheme="minorEastAsia" w:hAnsiTheme="minorEastAsia" w:eastAsiaTheme="minorEastAsia"/>
          <w:sz w:val="24"/>
          <w:szCs w:val="24"/>
        </w:rPr>
        <w:t xml:space="preserve">提供</w:t>
      </w:r>
      <w:r>
        <w:rPr>
          <w:rFonts w:hint="eastAsia" w:asciiTheme="minorEastAsia" w:hAnsiTheme="minorEastAsia" w:eastAsiaTheme="minorEastAsia"/>
          <w:sz w:val="24"/>
          <w:szCs w:val="24"/>
        </w:rPr>
        <w:t xml:space="preserve">的服务内容进行比较，同时考虑以下因素：</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25.2.1磋商供应商</w:t>
      </w:r>
      <w:r>
        <w:rPr>
          <w:rFonts w:asciiTheme="minorEastAsia" w:hAnsiTheme="minorEastAsia" w:eastAsiaTheme="minorEastAsia"/>
          <w:sz w:val="24"/>
          <w:szCs w:val="24"/>
        </w:rPr>
        <w:t xml:space="preserve">的资信情况和履约能力；</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25.2.2磋商供应商</w:t>
      </w:r>
      <w:r>
        <w:rPr>
          <w:rFonts w:asciiTheme="minorEastAsia" w:hAnsiTheme="minorEastAsia" w:eastAsiaTheme="minorEastAsia"/>
          <w:sz w:val="24"/>
          <w:szCs w:val="24"/>
        </w:rPr>
        <w:t xml:space="preserve">提供的其他优惠条件</w:t>
      </w:r>
      <w:r>
        <w:rPr>
          <w:rFonts w:hint="eastAsia" w:asciiTheme="minorEastAsia" w:hAnsiTheme="minorEastAsia" w:eastAsiaTheme="minorEastAsia"/>
          <w:sz w:val="24"/>
          <w:szCs w:val="24"/>
        </w:rPr>
        <w:t xml:space="preserve">；</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25.2.3磋商供应商的实施方案；</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25.3评标委员会各成员独立对每个进入合格性评审程序的磋商供应商的响应文件按评审办法进行评审和评价。</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26</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成交单位的确认</w:t>
      </w:r>
      <w:r/>
    </w:p>
    <w:p>
      <w:pPr>
        <w:ind w:firstLine="543"/>
        <w:spacing w:line="360" w:lineRule="auto"/>
        <w:rPr>
          <w:rFonts w:hint="eastAsia" w:ascii="宋体" w:hAnsi="宋体" w:eastAsia="宋体" w:cs="宋体"/>
          <w:sz w:val="24"/>
          <w:szCs w:val="24"/>
        </w:rPr>
      </w:pPr>
      <w:r>
        <w:rPr>
          <w:rFonts w:hint="eastAsia" w:asciiTheme="minorEastAsia" w:hAnsiTheme="minorEastAsia" w:eastAsiaTheme="minorEastAsia"/>
          <w:szCs w:val="24"/>
        </w:rPr>
        <w:t xml:space="preserve">26.1</w:t>
      </w:r>
      <w:r>
        <w:rPr>
          <w:rFonts w:hint="eastAsia" w:ascii="宋体" w:hAnsi="宋体" w:eastAsia="宋体" w:cs="宋体"/>
          <w:sz w:val="24"/>
          <w:szCs w:val="24"/>
        </w:rPr>
        <w:t xml:space="preserve">磋商小组根据本文件规定的成交原则，在响应文件满足磋商文件全部实质性要求且按评审因素的量化指标评审得分最高到低的前三名的磋商供应商为成交候选供应商。采购人授权磋商小组选择排名第一的为成交供应商。</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26.2确定成交供应商后，磋商采购单位将在规定的时间内将成交结果在相关媒体上予以公告。</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27</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合同授予标准</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27.1采购人将把合同授予其响应文件在实质上响应磋商文件要求和按本须知规定评选出的磋商供应商。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28.履约保证金：本项目无需递交履约保证金。</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29</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成交通知书</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29.1磋商采购单位应在规定的时间向成交供应商发出成交通知书。成交通知书发出后，采购人改变成交结果，或者成交供应商放弃成交，应当承担相应的法律责任。</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29.2成交通知书将成为合同的组成部分。</w:t>
      </w:r>
      <w:r/>
    </w:p>
    <w:p>
      <w:pPr>
        <w:ind w:firstLine="50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29.3磋商采购单位对未成交供应商不承担解释未成交原因的义务。</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30.</w:t>
      </w:r>
      <w:r>
        <w:rPr>
          <w:rFonts w:hint="eastAsia" w:asciiTheme="minorEastAsia" w:hAnsiTheme="minorEastAsia" w:eastAsiaTheme="minorEastAsia"/>
          <w:b/>
          <w:sz w:val="24"/>
          <w:szCs w:val="24"/>
        </w:rPr>
        <w:t xml:space="preserve">告知成交结果</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30.1发出成交通知书。</w:t>
      </w:r>
      <w:r>
        <w:rPr>
          <w:rFonts w:hint="eastAsia" w:asciiTheme="minorEastAsia" w:hAnsiTheme="minorEastAsia" w:eastAsiaTheme="minorEastAsia"/>
          <w:bCs/>
          <w:sz w:val="24"/>
          <w:szCs w:val="24"/>
        </w:rPr>
        <w:t xml:space="preserve">在</w:t>
      </w:r>
      <w:r>
        <w:rPr>
          <w:rFonts w:hint="eastAsia" w:asciiTheme="minorEastAsia" w:hAnsiTheme="minorEastAsia" w:eastAsiaTheme="minorEastAsia"/>
          <w:sz w:val="24"/>
          <w:szCs w:val="24"/>
        </w:rPr>
        <w:t xml:space="preserve">发布成交公告的同时，向成交磋商供应商发出成交通知书。</w:t>
      </w:r>
      <w:r/>
    </w:p>
    <w:p>
      <w:pPr>
        <w:pStyle w:val="661"/>
        <w:ind w:firstLine="46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30.2</w:t>
      </w:r>
      <w:r>
        <w:rPr>
          <w:rFonts w:asciiTheme="minorEastAsia" w:hAnsiTheme="minorEastAsia" w:eastAsiaTheme="minorEastAsia"/>
          <w:szCs w:val="24"/>
        </w:rPr>
        <w:t xml:space="preserve">参与项目评审的未成交磋商供应商可在成交公告</w:t>
      </w:r>
      <w:r>
        <w:rPr>
          <w:rFonts w:hint="eastAsia" w:asciiTheme="minorEastAsia" w:hAnsiTheme="minorEastAsia" w:eastAsiaTheme="minorEastAsia"/>
          <w:szCs w:val="24"/>
        </w:rPr>
        <w:t xml:space="preserve">发布</w:t>
      </w:r>
      <w:r>
        <w:rPr>
          <w:rFonts w:asciiTheme="minorEastAsia" w:hAnsiTheme="minorEastAsia" w:eastAsiaTheme="minorEastAsia"/>
          <w:szCs w:val="24"/>
        </w:rPr>
        <w:t xml:space="preserve">之日起</w:t>
      </w:r>
      <w:r>
        <w:rPr>
          <w:rFonts w:hint="eastAsia" w:asciiTheme="minorEastAsia" w:hAnsiTheme="minorEastAsia" w:eastAsiaTheme="minorEastAsia"/>
          <w:szCs w:val="24"/>
        </w:rPr>
        <w:t xml:space="preserve">2</w:t>
      </w:r>
      <w:r>
        <w:rPr>
          <w:rFonts w:asciiTheme="minorEastAsia" w:hAnsiTheme="minorEastAsia" w:eastAsiaTheme="minorEastAsia"/>
          <w:szCs w:val="24"/>
        </w:rPr>
        <w:t xml:space="preserve">个工作日内</w:t>
      </w:r>
      <w:r>
        <w:rPr>
          <w:rFonts w:hint="eastAsia" w:asciiTheme="minorEastAsia" w:hAnsiTheme="minorEastAsia" w:eastAsiaTheme="minorEastAsia"/>
          <w:szCs w:val="24"/>
        </w:rPr>
        <w:t xml:space="preserve">向采购代理机构另行提供用以接收</w:t>
      </w:r>
      <w:r>
        <w:rPr>
          <w:rFonts w:asciiTheme="minorEastAsia" w:hAnsiTheme="minorEastAsia" w:eastAsiaTheme="minorEastAsia"/>
          <w:szCs w:val="24"/>
        </w:rPr>
        <w:t xml:space="preserve">《未成交通知书》</w:t>
      </w:r>
      <w:r>
        <w:rPr>
          <w:rFonts w:hint="eastAsia" w:asciiTheme="minorEastAsia" w:hAnsiTheme="minorEastAsia" w:eastAsiaTheme="minorEastAsia"/>
          <w:szCs w:val="24"/>
        </w:rPr>
        <w:t xml:space="preserve">的电子邮件地址，未按时提供电子邮件地址或提供信息有误的，视为自动放弃并自行承担相应后果。</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31</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合同的签订</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31.1成交单位应按规定的时间和地点，由法定代表人或代理人与甲方代表签订合同。否则按放弃处理。</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31.2签订合同及合同条款应以磋商采购文件和成交单位的响应文件及其澄清文件为依据。</w:t>
      </w:r>
      <w:r/>
    </w:p>
    <w:p>
      <w:pPr>
        <w:pStyle w:val="661"/>
        <w:ind w:firstLine="24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31.3本项目各单项报价二次报价中未明确的，按照磋商总价（最终报价）/第一次总价*响应文件中列明单价（第一次）执行。</w:t>
      </w:r>
      <w:r/>
    </w:p>
    <w:p>
      <w:pPr>
        <w:ind w:firstLine="241"/>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3</w:t>
      </w: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代理服务费</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2.1成交单位须按前附表的规定计算并支付服务费，该费用应在领取成交通知书时向采购代理机构一次性付清。</w:t>
      </w:r>
      <w:r/>
    </w:p>
    <w:p>
      <w:pPr>
        <w:pStyle w:val="661"/>
        <w:ind w:firstLine="24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2.2成交单位如果未按规定缴纳服务费，磋商采购单位将保留诉讼的权利。</w:t>
      </w:r>
      <w:r/>
    </w:p>
    <w:p>
      <w:pPr>
        <w:ind w:firstLine="241"/>
        <w:jc w:val="left"/>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33.采购文件的质疑</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33.2本次采购文件要求供应商在法定质疑期内一次性提出针对同一采购程序环节的质疑。</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33.4供应商提出质疑应当提交质疑函、报名确认单和必要的证明材料。质疑函应当包括下列内容：</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33.4.1供应商的姓名或者名称、地址、邮编、联系人及联系电话；</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33.4.2质疑项目的名称、编号；</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33.4.3具体、明确的质疑事项和与质疑事项相关的请求；</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33.4.4事实依据；</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33.4.5必要的法律依据；</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33.4.6提出质疑的日期。</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675"/>
        <w:ind w:firstLine="480"/>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33.5质疑联系方式详见前附表。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34.政府采购政策</w:t>
      </w:r>
      <w:r/>
    </w:p>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34.1关于节能环保产品政府采购要求：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34.2针对中小型企业的评审：</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（1）本项目为专门面向中小企业采购。</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在政府采购活动中，供应商提供的服务符合下列情形的，享受《政府采购促进中小企业发展管理办法》规定的中小企业扶持政策：在服务项目中，项目由中小微企业承接。</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bCs/>
          <w:sz w:val="24"/>
          <w:szCs w:val="24"/>
        </w:rPr>
        <w:t xml:space="preserve">其他未列明行业</w:t>
      </w:r>
      <w:r>
        <w:rPr>
          <w:rFonts w:hint="eastAsia" w:ascii="宋体" w:hAnsi="宋体" w:eastAsia="宋体" w:cs="宋体"/>
          <w:b/>
          <w:bCs/>
          <w:sz w:val="24"/>
          <w:szCs w:val="24"/>
        </w:rPr>
        <w:t xml:space="preserve">。</w:t>
      </w:r>
      <w:r/>
    </w:p>
    <w:p>
      <w:pPr>
        <w:ind w:firstLine="480"/>
        <w:jc w:val="left"/>
        <w:spacing w:line="360" w:lineRule="auto"/>
        <w:rPr>
          <w:rFonts w:hint="eastAsia" w:ascii="宋体" w:hAnsi="宋体"/>
          <w:sz w:val="24"/>
          <w:szCs w:val="24"/>
        </w:rPr>
      </w:pPr>
      <w:r>
        <w:rPr>
          <w:rFonts w:hint="eastAsia" w:ascii="宋体" w:hAnsi="宋体" w:eastAsia="宋体" w:cs="宋体"/>
          <w:sz w:val="24"/>
          <w:szCs w:val="24"/>
        </w:rPr>
        <w:t xml:space="preserve">若中小微企业提供的 “中小企业声明函” 或认定证明为虚假声明则视同提供虚假材料，按政府采购相关规定处理并报请政府监管部门给予行政处罚。</w:t>
      </w:r>
      <w:r/>
    </w:p>
    <w:p>
      <w:pPr>
        <w:pStyle w:val="693"/>
        <w:ind w:firstLine="480"/>
        <w:spacing w:line="360" w:lineRule="auto"/>
        <w:rPr>
          <w:bCs/>
        </w:rPr>
      </w:pPr>
      <w:r>
        <w:rPr>
          <w:rFonts w:hint="eastAsia" w:hAnsi="宋体" w:cs="宋体"/>
          <w:bCs/>
          <w:sz w:val="24"/>
          <w:szCs w:val="24"/>
        </w:rPr>
        <w:t xml:space="preserve">未尽事宜按照《苏州市政府采购促进中小企业发展实施意见》执行。</w:t>
      </w:r>
      <w:r/>
    </w:p>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（3）监狱企业</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pStyle w:val="759"/>
        <w:ind w:firstLine="482"/>
        <w:jc w:val="left"/>
        <w:spacing w:after="54"/>
        <w:rPr>
          <w:rFonts w:hint="eastAsia" w:cs="宋体"/>
          <w:b/>
        </w:rPr>
      </w:pPr>
      <w:r>
        <w:rPr>
          <w:rFonts w:hint="eastAsia" w:cs="宋体"/>
          <w:b/>
        </w:rPr>
        <w:t xml:space="preserve">34.3信用记录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根据政府采购法及相关法规，以及</w:t>
      </w:r>
      <w:r>
        <w:rPr>
          <w:rFonts w:hint="eastAsia" w:ascii="宋体" w:hAnsi="宋体" w:eastAsia="宋体" w:cs="宋体"/>
          <w:bCs/>
          <w:sz w:val="24"/>
          <w:szCs w:val="24"/>
        </w:rPr>
        <w:t xml:space="preserve">苏州市财政局《关于苏州市政府采购网下线“供应商信用查询”功能的通知》</w:t>
      </w:r>
      <w:r>
        <w:rPr>
          <w:rFonts w:hint="eastAsia" w:ascii="宋体" w:hAnsi="宋体" w:eastAsia="宋体" w:cs="宋体"/>
          <w:sz w:val="24"/>
          <w:szCs w:val="24"/>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33.3.1查询截止时点：响应文件递交截止时间。</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33.3.2查询渠道：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采购代理机构将通过</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在中国政府采购网</w:t>
      </w:r>
      <w:r>
        <w:rPr>
          <w:rFonts w:hint="eastAsia" w:ascii="宋体" w:hAnsi="宋体" w:eastAsia="宋体" w:cs="宋体"/>
          <w:sz w:val="24"/>
          <w:szCs w:val="24"/>
        </w:rPr>
        <w:t xml:space="preserve">（http://www.ccgp.gov.cn）</w:t>
      </w:r>
      <w:r>
        <w:rPr>
          <w:rFonts w:hint="eastAsia" w:ascii="宋体" w:hAnsi="宋体" w:eastAsia="宋体" w:cs="宋体"/>
          <w:sz w:val="24"/>
          <w:szCs w:val="24"/>
          <w:lang w:val="zh-CN"/>
        </w:rPr>
        <w:t xml:space="preserve">、信用中国</w:t>
      </w:r>
      <w:r>
        <w:rPr>
          <w:rFonts w:hint="eastAsia" w:ascii="宋体" w:hAnsi="宋体" w:eastAsia="宋体" w:cs="宋体"/>
          <w:sz w:val="24"/>
          <w:szCs w:val="24"/>
        </w:rPr>
        <w:t xml:space="preserve">（www.creditchina.gov.cn）</w:t>
      </w:r>
      <w:r>
        <w:rPr>
          <w:rFonts w:hint="eastAsia" w:ascii="宋体" w:hAnsi="宋体" w:eastAsia="宋体" w:cs="宋体"/>
          <w:sz w:val="24"/>
          <w:szCs w:val="24"/>
          <w:lang w:val="zh-CN"/>
        </w:rPr>
        <w:t xml:space="preserve">的网站输入供应商全称或统一社会信用代码查询信用记录</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并将查询结果递交评审小组。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34.3.3</w:t>
      </w:r>
      <w:r>
        <w:rPr>
          <w:rFonts w:hint="eastAsia" w:ascii="宋体" w:hAnsi="宋体" w:eastAsia="宋体" w:cs="宋体"/>
          <w:sz w:val="24"/>
          <w:szCs w:val="24"/>
          <w:lang w:val="zh-CN"/>
        </w:rPr>
        <w:t xml:space="preserve">信用记录使用规则：对响应单位进行资格性审查时，应根据查询结果对供应商的不良信用记录逐项甄别确认。</w:t>
      </w:r>
      <w:r>
        <w:rPr>
          <w:rFonts w:hint="eastAsia" w:ascii="宋体" w:hAnsi="宋体" w:eastAsia="宋体" w:cs="宋体"/>
          <w:sz w:val="24"/>
          <w:szCs w:val="24"/>
        </w:rPr>
        <w:t xml:space="preserve">按照《中华人民共和国政府采购法》第二十二条规定，下列信用记录属于应依法拒绝供应商参加政府采购的失信信息：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（2）被列入重大税收违法案件当事人名单；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35. 未尽事宜</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按</w:t>
      </w:r>
      <w:r>
        <w:rPr>
          <w:rFonts w:asciiTheme="minorEastAsia" w:hAnsiTheme="minorEastAsia" w:eastAsiaTheme="minorEastAsia"/>
          <w:sz w:val="24"/>
          <w:szCs w:val="24"/>
        </w:rPr>
        <w:t xml:space="preserve">《中华人民共和国政府采购法》</w:t>
      </w:r>
      <w:r>
        <w:rPr>
          <w:rStyle w:val="688"/>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中华人民共和国政府采购法</w:t>
      </w:r>
      <w:r>
        <w:rPr>
          <w:rFonts w:hint="eastAsia" w:asciiTheme="minorEastAsia" w:hAnsiTheme="minorEastAsia" w:eastAsiaTheme="minorEastAsia"/>
          <w:sz w:val="24"/>
          <w:szCs w:val="24"/>
        </w:rPr>
        <w:t xml:space="preserve">实施条例》及其他有关的法律法规的规定执行。</w:t>
      </w:r>
      <w:r/>
    </w:p>
    <w:p>
      <w:pPr>
        <w:pStyle w:val="693"/>
        <w:ind w:firstLine="420"/>
      </w:pPr>
      <w:r/>
      <w:r/>
    </w:p>
    <w:p>
      <w:pPr>
        <w:ind w:firstLine="260"/>
      </w:pPr>
      <w:r/>
      <w:r/>
    </w:p>
    <w:p>
      <w:pPr>
        <w:pStyle w:val="696"/>
        <w:rPr>
          <w:color w:val="auto"/>
        </w:rPr>
      </w:pPr>
      <w:r>
        <w:rPr>
          <w:color w:val="auto"/>
        </w:r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pStyle w:val="653"/>
        <w:ind w:firstLine="522"/>
        <w:jc w:val="center"/>
        <w:rPr>
          <w:rFonts w:hint="eastAsia" w:ascii="宋体" w:hAnsi="宋体" w:eastAsia="宋体"/>
          <w:b w:val="0"/>
          <w:sz w:val="52"/>
        </w:rPr>
      </w:pPr>
      <w:r/>
      <w:bookmarkStart w:id="40" w:name="_Toc18953"/>
      <w:r>
        <w:rPr>
          <w:rFonts w:hint="eastAsia" w:ascii="宋体" w:hAnsi="宋体" w:eastAsia="宋体"/>
          <w:sz w:val="52"/>
        </w:rPr>
        <w:t xml:space="preserve">第三章 响应文件格式</w:t>
      </w:r>
      <w:bookmarkEnd w:id="39"/>
      <w:r/>
      <w:bookmarkEnd w:id="40"/>
      <w:r/>
      <w:r/>
    </w:p>
    <w:p>
      <w:pPr>
        <w:pStyle w:val="661"/>
        <w:ind w:firstLine="241"/>
        <w:spacing w:line="360" w:lineRule="auto"/>
        <w:rPr>
          <w:rFonts w:hint="eastAsia" w:ascii="宋体" w:hAnsi="宋体" w:eastAsia="宋体"/>
          <w:b/>
        </w:rPr>
      </w:pPr>
      <w:r>
        <w:rPr>
          <w:rFonts w:hint="eastAsia" w:ascii="宋体" w:hAnsi="宋体" w:eastAsia="宋体"/>
          <w:b/>
        </w:rPr>
        <w:t xml:space="preserve">说明：</w:t>
      </w:r>
      <w:r/>
    </w:p>
    <w:p>
      <w:pPr>
        <w:pStyle w:val="661"/>
        <w:ind w:firstLine="241"/>
        <w:spacing w:line="360" w:lineRule="auto"/>
        <w:rPr>
          <w:rFonts w:hint="eastAsia" w:ascii="宋体" w:hAnsi="宋体" w:eastAsia="宋体"/>
          <w:b/>
        </w:rPr>
      </w:pPr>
      <w:r>
        <w:rPr>
          <w:rFonts w:hint="eastAsia" w:ascii="宋体" w:hAnsi="宋体" w:eastAsia="宋体"/>
          <w:b/>
        </w:rPr>
        <w:t xml:space="preserve">对本章所有的格式，磋商供应商可根据自身情况进行补充和修改，但补充和修改不得造成与本格式内容有实质性的违背。</w:t>
      </w:r>
      <w:r/>
    </w:p>
    <w:p>
      <w:pPr>
        <w:pStyle w:val="661"/>
        <w:ind w:firstLine="281"/>
        <w:jc w:val="both"/>
        <w:spacing w:line="360" w:lineRule="auto"/>
        <w:rPr>
          <w:rFonts w:hint="eastAsia" w:ascii="宋体" w:hAnsi="宋体" w:eastAsia="宋体"/>
          <w:b/>
        </w:rPr>
      </w:pPr>
      <w:r>
        <w:rPr>
          <w:rFonts w:ascii="宋体" w:hAnsi="宋体" w:eastAsia="宋体"/>
          <w:b/>
        </w:rPr>
        <w:t xml:space="preserve">1</w:t>
      </w:r>
      <w:r>
        <w:rPr>
          <w:rFonts w:hint="eastAsia" w:ascii="宋体" w:hAnsi="宋体" w:eastAsia="宋体"/>
          <w:b/>
        </w:rPr>
        <w:t xml:space="preserve">、（供应方）法定代表人授权委托书</w:t>
      </w:r>
      <w:r/>
    </w:p>
    <w:p>
      <w:pPr>
        <w:pStyle w:val="661"/>
        <w:ind w:firstLine="240"/>
        <w:jc w:val="both"/>
        <w:spacing w:line="360" w:lineRule="auto"/>
        <w:rPr>
          <w:rFonts w:hint="eastAsia" w:ascii="宋体" w:hAnsi="宋体" w:eastAsia="宋体"/>
        </w:rPr>
      </w:pPr>
      <w:r>
        <w:rPr>
          <w:rFonts w:hint="eastAsia" w:ascii="宋体" w:hAnsi="宋体" w:eastAsia="宋体"/>
        </w:rPr>
      </w:r>
      <w:r/>
    </w:p>
    <w:p>
      <w:pPr>
        <w:pStyle w:val="679"/>
        <w:ind w:firstLine="301"/>
        <w:jc w:val="center"/>
        <w:spacing w:line="360" w:lineRule="auto"/>
        <w:rPr>
          <w:rFonts w:hint="eastAsia"/>
          <w:b/>
          <w:bCs/>
        </w:rPr>
      </w:pPr>
      <w:r>
        <w:rPr>
          <w:b/>
          <w:bCs/>
          <w:sz w:val="30"/>
          <w:szCs w:val="30"/>
        </w:rPr>
        <w:t xml:space="preserve">法定代表人授权委托书</w:t>
      </w:r>
      <w:r/>
    </w:p>
    <w:p>
      <w:pPr>
        <w:pStyle w:val="739"/>
        <w:rPr>
          <w:rFonts w:hint="eastAsia"/>
        </w:rPr>
      </w:pPr>
      <w:r>
        <w:t xml:space="preserve"> </w:t>
      </w:r>
      <w:r/>
    </w:p>
    <w:p>
      <w:pPr>
        <w:spacing w:line="360" w:lineRule="auto"/>
        <w:widowControl/>
        <w:rPr>
          <w:sz w:val="24"/>
          <w:szCs w:val="24"/>
        </w:rPr>
      </w:pPr>
      <w:r>
        <w:rPr>
          <w:sz w:val="24"/>
          <w:szCs w:val="24"/>
        </w:rPr>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本授权委托书声明：我</w:t>
      </w:r>
      <w:r>
        <w:rPr>
          <w:rFonts w:hint="eastAsia" w:asciiTheme="minorEastAsia" w:hAnsiTheme="minorEastAsia" w:eastAsiaTheme="minorEastAsia"/>
          <w:sz w:val="24"/>
          <w:szCs w:val="24"/>
          <w:u w:val="single"/>
        </w:rPr>
        <w:t xml:space="preserve">  （姓名）  </w:t>
      </w:r>
      <w:r>
        <w:rPr>
          <w:rFonts w:hint="eastAsia" w:asciiTheme="minorEastAsia" w:hAnsiTheme="minorEastAsia" w:eastAsiaTheme="minorEastAsia"/>
          <w:sz w:val="24"/>
          <w:szCs w:val="24"/>
        </w:rPr>
        <w:t xml:space="preserve">系</w:t>
      </w:r>
      <w:r>
        <w:rPr>
          <w:rFonts w:hint="eastAsia" w:asciiTheme="minorEastAsia" w:hAnsiTheme="minorEastAsia" w:eastAsiaTheme="minorEastAsia"/>
          <w:sz w:val="24"/>
          <w:szCs w:val="24"/>
          <w:u w:val="single"/>
        </w:rPr>
        <w:t xml:space="preserve">（供应商名称）  </w:t>
      </w:r>
      <w:r>
        <w:rPr>
          <w:rFonts w:hint="eastAsia" w:asciiTheme="minorEastAsia" w:hAnsiTheme="minorEastAsia" w:eastAsiaTheme="minorEastAsia"/>
          <w:sz w:val="24"/>
          <w:szCs w:val="24"/>
        </w:rPr>
        <w:t xml:space="preserve">的法定代表人，现授权委托</w:t>
      </w:r>
      <w:r>
        <w:rPr>
          <w:rFonts w:hint="eastAsia" w:asciiTheme="minorEastAsia" w:hAnsiTheme="minorEastAsia" w:eastAsiaTheme="minorEastAsia"/>
          <w:sz w:val="24"/>
          <w:szCs w:val="24"/>
          <w:u w:val="single"/>
        </w:rPr>
        <w:t xml:space="preserve"> （姓名）  </w:t>
      </w:r>
      <w:r>
        <w:rPr>
          <w:rFonts w:hint="eastAsia" w:asciiTheme="minorEastAsia" w:hAnsiTheme="minorEastAsia" w:eastAsiaTheme="minorEastAsia"/>
          <w:sz w:val="24"/>
          <w:szCs w:val="24"/>
        </w:rPr>
        <w:t xml:space="preserve">为我公司授权代表（即代理人），以本公司的名义参加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组织实施的编号为</w:t>
      </w:r>
      <w:r>
        <w:rPr>
          <w:rFonts w:hint="eastAsia" w:asciiTheme="minorEastAsia" w:hAnsiTheme="minorEastAsia" w:eastAsiaTheme="minorEastAsia"/>
          <w:sz w:val="24"/>
          <w:szCs w:val="24"/>
          <w:u w:val="single"/>
        </w:rPr>
        <w:t xml:space="preserve">  JSZC-320500-XCXC-C2026-0003 </w:t>
      </w:r>
      <w:r>
        <w:rPr>
          <w:rFonts w:hint="eastAsia" w:asciiTheme="minorEastAsia" w:hAnsiTheme="minorEastAsia" w:eastAsiaTheme="minorEastAsia"/>
          <w:sz w:val="24"/>
          <w:szCs w:val="24"/>
        </w:rPr>
        <w:t xml:space="preserve">号的磋商活动。授权代表在磋商活动过程中所签署的一切文件和处理与这有关的一切事务，我均予以承认。</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授权代表在授权委托书有效期内签署的所有文件不因授权委托的撤销而失效，除非有撤销授权委托的书面通知，本授权委托书自磋商活动开始至合同履行完毕止。</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授权代表无转委托权。特此委托。</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法定代表人：（签字或盖章）</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代理人：（签字或盖章）</w:t>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center"/>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年　　月　　日</w:t>
      </w:r>
      <w:r/>
    </w:p>
    <w:p>
      <w:pPr>
        <w:pStyle w:val="669"/>
        <w:ind w:firstLine="241"/>
        <w:spacing w:line="380" w:lineRule="exact"/>
        <w:rPr>
          <w:rFonts w:hint="eastAsia" w:hAnsi="宋体" w:eastAsia="宋体"/>
          <w:b/>
          <w:sz w:val="24"/>
        </w:rPr>
      </w:pPr>
      <w:r>
        <w:rPr>
          <w:rFonts w:hint="eastAsia" w:hAnsi="宋体" w:eastAsia="宋体"/>
          <w:b/>
          <w:sz w:val="24"/>
        </w:rPr>
        <w:t xml:space="preserve">2、响应函</w:t>
      </w:r>
      <w:r/>
    </w:p>
    <w:p>
      <w:pPr>
        <w:pStyle w:val="669"/>
        <w:ind w:firstLine="241"/>
        <w:jc w:val="center"/>
        <w:spacing w:line="380" w:lineRule="exact"/>
        <w:rPr>
          <w:rFonts w:hint="eastAsia" w:hAnsi="宋体" w:eastAsia="宋体"/>
          <w:b/>
          <w:sz w:val="24"/>
        </w:rPr>
      </w:pPr>
      <w:r>
        <w:rPr>
          <w:rFonts w:hint="eastAsia" w:hAnsi="宋体" w:eastAsia="宋体"/>
          <w:b/>
          <w:sz w:val="24"/>
        </w:rPr>
        <w:t xml:space="preserve">响应函</w:t>
      </w:r>
      <w:r/>
    </w:p>
    <w:p>
      <w:pPr>
        <w:pStyle w:val="704"/>
        <w:ind w:left="2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p>
    <w:p>
      <w:pPr>
        <w:pStyle w:val="704"/>
        <w:ind w:left="2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我们收到贵公司号磋商文件，经仔细阅读和研究，我们决定参加磋商活动。</w:t>
      </w:r>
      <w:r/>
    </w:p>
    <w:p>
      <w:pPr>
        <w:pStyle w:val="704"/>
        <w:ind w:firstLine="480"/>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、我们愿意按照磋商文件的一切要求，完成该项目的全部内容。</w:t>
      </w:r>
      <w:r/>
    </w:p>
    <w:p>
      <w:pPr>
        <w:pStyle w:val="704"/>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、如果我们的磋商响应文件被接受，我们将严格履行磋商文件中规定的每一项要求，按期、按质、按量履行合同的义务。</w:t>
      </w:r>
      <w:r/>
    </w:p>
    <w:p>
      <w:pPr>
        <w:pStyle w:val="704"/>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、我们已</w:t>
      </w:r>
      <w:r>
        <w:rPr>
          <w:rFonts w:asciiTheme="minorEastAsia" w:hAnsiTheme="minorEastAsia" w:eastAsiaTheme="minorEastAsia"/>
          <w:sz w:val="24"/>
          <w:szCs w:val="24"/>
        </w:rPr>
        <w:t xml:space="preserve">详细</w:t>
      </w:r>
      <w:r>
        <w:rPr>
          <w:rFonts w:hint="eastAsia" w:asciiTheme="minorEastAsia" w:hAnsiTheme="minorEastAsia" w:eastAsiaTheme="minorEastAsia"/>
          <w:sz w:val="24"/>
          <w:szCs w:val="24"/>
        </w:rPr>
        <w:t xml:space="preserve">阅读</w:t>
      </w:r>
      <w:r>
        <w:rPr>
          <w:rFonts w:asciiTheme="minorEastAsia" w:hAnsiTheme="minorEastAsia" w:eastAsiaTheme="minorEastAsia"/>
          <w:sz w:val="24"/>
          <w:szCs w:val="24"/>
        </w:rPr>
        <w:t xml:space="preserve">全部</w:t>
      </w:r>
      <w:r>
        <w:rPr>
          <w:rFonts w:hint="eastAsia" w:asciiTheme="minorEastAsia" w:hAnsiTheme="minorEastAsia" w:eastAsiaTheme="minorEastAsia"/>
          <w:sz w:val="24"/>
          <w:szCs w:val="24"/>
        </w:rPr>
        <w:t xml:space="preserve">磋商文件</w:t>
      </w:r>
      <w:r>
        <w:rPr>
          <w:rFonts w:asciiTheme="minorEastAsia" w:hAnsiTheme="minorEastAsia" w:eastAsiaTheme="minorEastAsia"/>
          <w:sz w:val="24"/>
          <w:szCs w:val="24"/>
        </w:rPr>
        <w:t xml:space="preserve">，包括</w:t>
      </w:r>
      <w:r>
        <w:rPr>
          <w:rFonts w:hint="eastAsia" w:asciiTheme="minorEastAsia" w:hAnsiTheme="minorEastAsia" w:eastAsiaTheme="minorEastAsia"/>
          <w:sz w:val="24"/>
          <w:szCs w:val="24"/>
        </w:rPr>
        <w:t xml:space="preserve">更正公告</w:t>
      </w:r>
      <w:r>
        <w:rPr>
          <w:rFonts w:asciiTheme="minorEastAsia" w:hAnsiTheme="minorEastAsia" w:eastAsiaTheme="minorEastAsia"/>
          <w:sz w:val="24"/>
          <w:szCs w:val="24"/>
        </w:rPr>
        <w:t xml:space="preserve">(如有)</w:t>
      </w:r>
      <w:r>
        <w:rPr>
          <w:rFonts w:hint="eastAsia" w:asciiTheme="minorEastAsia" w:hAnsiTheme="minorEastAsia" w:eastAsiaTheme="minorEastAsia"/>
          <w:sz w:val="24"/>
          <w:szCs w:val="24"/>
        </w:rPr>
        <w:t xml:space="preserve">，对磋商文件及更正公告</w:t>
      </w:r>
      <w:r>
        <w:rPr>
          <w:rFonts w:asciiTheme="minorEastAsia" w:hAnsiTheme="minorEastAsia" w:eastAsiaTheme="minorEastAsia"/>
          <w:sz w:val="24"/>
          <w:szCs w:val="24"/>
        </w:rPr>
        <w:t xml:space="preserve">(如有)</w:t>
      </w:r>
      <w:r>
        <w:rPr>
          <w:rFonts w:hint="eastAsia" w:asciiTheme="minorEastAsia" w:hAnsiTheme="minorEastAsia" w:eastAsiaTheme="minorEastAsia"/>
          <w:sz w:val="24"/>
          <w:szCs w:val="24"/>
        </w:rPr>
        <w:t xml:space="preserve">无任何异议。</w:t>
      </w:r>
      <w:r>
        <w:rPr>
          <w:rFonts w:asciiTheme="minorEastAsia" w:hAnsiTheme="minorEastAsia" w:eastAsiaTheme="minorEastAsia"/>
          <w:sz w:val="24"/>
          <w:szCs w:val="24"/>
        </w:rPr>
        <w:t xml:space="preserve">我们完全理解并同意放弃对这方面有不明及误解的权力。</w:t>
      </w:r>
      <w:r/>
    </w:p>
    <w:p>
      <w:pPr>
        <w:pStyle w:val="704"/>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4、我们同意按磋商文件中的规定，本响应文件的有效期限自提交响应文件截止时间之日起</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天。</w:t>
      </w:r>
      <w:r/>
    </w:p>
    <w:p>
      <w:pPr>
        <w:pStyle w:val="704"/>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5、我们愿意提供磋商采购单位在磋商文件中要求的所有资料。</w:t>
      </w:r>
      <w:r/>
    </w:p>
    <w:p>
      <w:pPr>
        <w:pStyle w:val="704"/>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6、我们愿意遵守磋商文件中所列的收费标准。</w:t>
      </w:r>
      <w:r/>
    </w:p>
    <w:p>
      <w:pPr>
        <w:pStyle w:val="704"/>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7、我们承诺该响应文件在磋商开始后的全过程中保持有效，不作任何更改和变动。</w:t>
      </w:r>
      <w:r/>
    </w:p>
    <w:p>
      <w:pPr>
        <w:pStyle w:val="704"/>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8、我们承诺我公司符合磋商文件供应商须知中“合格供应商的基本、特定条件”的要求，若与真实情况不符，本公司愿意承担由此而产生的一切后果。</w:t>
      </w:r>
      <w:r/>
    </w:p>
    <w:p>
      <w:pPr>
        <w:pStyle w:val="704"/>
        <w:ind w:firstLine="480"/>
        <w:spacing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rPr>
          <w:rFonts w:cs="宋体" w:asciiTheme="minorEastAsia" w:hAnsiTheme="minorEastAsia" w:eastAsiaTheme="minorEastAsia"/>
          <w:sz w:val="24"/>
          <w:szCs w:val="24"/>
        </w:rPr>
        <w:t xml:space="preserve">我们声明：我们在参加本次政府采购活动前3年内在经营活动中没有重大违法记录。 </w:t>
      </w:r>
      <w:r/>
    </w:p>
    <w:p>
      <w:pPr>
        <w:pStyle w:val="669"/>
        <w:ind w:firstLine="480"/>
        <w:spacing w:line="360" w:lineRule="auto"/>
        <w:rPr>
          <w:rFonts w:hint="eastAsia" w:hAnsi="宋体" w:eastAsia="宋体"/>
          <w:sz w:val="24"/>
          <w:szCs w:val="24"/>
        </w:rPr>
      </w:pPr>
      <w:r>
        <w:rPr>
          <w:rFonts w:hint="eastAsia" w:hAnsi="宋体" w:eastAsia="宋体"/>
          <w:sz w:val="24"/>
          <w:szCs w:val="24"/>
        </w:rPr>
        <w:t xml:space="preserve">所有有关响应文件的函电，可按下列地址联系：</w:t>
      </w:r>
      <w:r/>
    </w:p>
    <w:p>
      <w:pPr>
        <w:pStyle w:val="669"/>
        <w:ind w:firstLine="480"/>
        <w:spacing w:line="360" w:lineRule="auto"/>
        <w:rPr>
          <w:rFonts w:hint="eastAsia" w:hAnsi="宋体" w:eastAsia="宋体"/>
          <w:sz w:val="24"/>
          <w:szCs w:val="24"/>
        </w:rPr>
      </w:pPr>
      <w:r>
        <w:rPr>
          <w:rFonts w:hint="eastAsia" w:hAnsi="宋体" w:eastAsia="宋体"/>
          <w:sz w:val="24"/>
          <w:szCs w:val="24"/>
        </w:rPr>
        <w:t xml:space="preserve">联系人：</w:t>
      </w:r>
      <w:r/>
    </w:p>
    <w:p>
      <w:pPr>
        <w:pStyle w:val="669"/>
        <w:ind w:firstLine="480"/>
        <w:spacing w:line="360" w:lineRule="auto"/>
        <w:rPr>
          <w:rFonts w:hint="eastAsia" w:hAnsi="宋体" w:eastAsia="宋体"/>
          <w:sz w:val="24"/>
          <w:szCs w:val="24"/>
          <w:u w:val="single"/>
        </w:rPr>
      </w:pPr>
      <w:r>
        <w:rPr>
          <w:rFonts w:hint="eastAsia" w:hAnsi="宋体" w:eastAsia="宋体"/>
          <w:sz w:val="24"/>
          <w:szCs w:val="24"/>
        </w:rPr>
        <w:t xml:space="preserve">联系电话（手机）：</w:t>
      </w:r>
      <w:r/>
    </w:p>
    <w:p>
      <w:pPr>
        <w:pStyle w:val="669"/>
        <w:ind w:firstLine="480"/>
        <w:spacing w:line="360" w:lineRule="auto"/>
        <w:rPr>
          <w:rFonts w:hint="eastAsia" w:hAnsi="宋体" w:eastAsia="宋体"/>
          <w:sz w:val="24"/>
          <w:szCs w:val="24"/>
          <w:u w:val="single"/>
        </w:rPr>
      </w:pPr>
      <w:r>
        <w:rPr>
          <w:rFonts w:hint="eastAsia" w:hAnsi="宋体" w:eastAsia="宋体"/>
          <w:sz w:val="24"/>
          <w:szCs w:val="24"/>
        </w:rPr>
        <w:t xml:space="preserve">地址：邮政编码：</w:t>
      </w:r>
      <w:r/>
    </w:p>
    <w:p>
      <w:pPr>
        <w:pStyle w:val="669"/>
        <w:spacing w:line="360" w:lineRule="auto"/>
        <w:rPr>
          <w:rFonts w:hint="eastAsia" w:hAnsi="宋体" w:eastAsia="宋体"/>
          <w:sz w:val="24"/>
          <w:szCs w:val="24"/>
          <w:u w:val="single"/>
        </w:rPr>
      </w:pPr>
      <w:r>
        <w:rPr>
          <w:rFonts w:hint="eastAsia" w:hAnsi="宋体" w:eastAsia="宋体"/>
          <w:sz w:val="24"/>
          <w:szCs w:val="24"/>
        </w:rPr>
        <w:t xml:space="preserve">    电子邮箱：</w:t>
      </w:r>
      <w:r/>
    </w:p>
    <w:p>
      <w:pPr>
        <w:pStyle w:val="669"/>
        <w:ind w:firstLine="315"/>
        <w:spacing w:line="360" w:lineRule="auto"/>
        <w:rPr>
          <w:rFonts w:hint="eastAsia" w:hAnsi="宋体" w:eastAsia="宋体"/>
          <w:sz w:val="21"/>
          <w:szCs w:val="21"/>
        </w:rPr>
      </w:pPr>
      <w:r>
        <w:rPr>
          <w:rFonts w:hint="eastAsia" w:hAnsi="宋体" w:eastAsia="宋体"/>
          <w:sz w:val="21"/>
          <w:szCs w:val="21"/>
        </w:rPr>
      </w:r>
      <w:r/>
    </w:p>
    <w:p>
      <w:pPr>
        <w:ind w:firstLine="2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pStyle w:val="669"/>
        <w:ind w:firstLine="241"/>
        <w:spacing w:line="380" w:lineRule="exact"/>
        <w:rPr>
          <w:rFonts w:hint="eastAsia" w:hAnsi="宋体" w:eastAsia="宋体"/>
          <w:sz w:val="24"/>
        </w:rPr>
      </w:pPr>
      <w:r>
        <w:rPr>
          <w:rFonts w:hint="eastAsia" w:hAnsi="宋体" w:eastAsia="宋体"/>
          <w:b/>
          <w:sz w:val="24"/>
        </w:rPr>
        <w:t xml:space="preserve">   </w:t>
      </w: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pStyle w:val="669"/>
        <w:spacing w:line="380" w:lineRule="exact"/>
        <w:rPr>
          <w:rFonts w:hint="eastAsia" w:hAnsi="宋体" w:eastAsia="宋体"/>
          <w:sz w:val="24"/>
        </w:rPr>
      </w:pPr>
      <w:r>
        <w:rPr>
          <w:rFonts w:hint="eastAsia" w:hAnsi="宋体" w:eastAsia="宋体"/>
          <w:sz w:val="24"/>
        </w:rPr>
      </w:r>
      <w:r/>
    </w:p>
    <w:p>
      <w:pPr>
        <w:pStyle w:val="669"/>
        <w:ind w:firstLine="241"/>
        <w:spacing w:line="380" w:lineRule="exact"/>
        <w:rPr>
          <w:rFonts w:hAnsi="宋体" w:eastAsia="宋体"/>
          <w:b/>
          <w:sz w:val="24"/>
        </w:rPr>
      </w:pPr>
      <w:r>
        <w:rPr>
          <w:rFonts w:hAnsi="宋体" w:eastAsia="宋体"/>
          <w:b/>
          <w:sz w:val="24"/>
        </w:rPr>
      </w:r>
      <w:r/>
    </w:p>
    <w:p>
      <w:pPr>
        <w:pStyle w:val="669"/>
        <w:ind w:firstLine="241"/>
        <w:spacing w:line="380" w:lineRule="exact"/>
        <w:rPr>
          <w:rFonts w:hAnsi="宋体" w:eastAsia="宋体"/>
          <w:b/>
          <w:sz w:val="24"/>
        </w:rPr>
      </w:pPr>
      <w:r>
        <w:rPr>
          <w:rFonts w:hAnsi="宋体" w:eastAsia="宋体"/>
          <w:b/>
          <w:sz w:val="24"/>
        </w:rPr>
      </w:r>
      <w:r/>
    </w:p>
    <w:p>
      <w:pPr>
        <w:pStyle w:val="669"/>
        <w:ind w:firstLine="241"/>
        <w:spacing w:line="380" w:lineRule="exact"/>
        <w:rPr>
          <w:rFonts w:hint="eastAsia" w:hAnsi="宋体" w:eastAsia="宋体"/>
          <w:b/>
          <w:sz w:val="24"/>
        </w:rPr>
      </w:pPr>
      <w:r>
        <w:rPr>
          <w:rFonts w:hAnsi="宋体" w:eastAsia="宋体"/>
          <w:b/>
          <w:sz w:val="24"/>
        </w:rPr>
        <w:t xml:space="preserve">3</w:t>
      </w:r>
      <w:r>
        <w:rPr>
          <w:rFonts w:hint="eastAsia" w:hAnsi="宋体" w:eastAsia="宋体"/>
          <w:b/>
          <w:sz w:val="24"/>
        </w:rPr>
        <w:t xml:space="preserve">、响应报价表</w:t>
      </w:r>
      <w:r/>
    </w:p>
    <w:p>
      <w:pPr>
        <w:pStyle w:val="669"/>
        <w:ind w:firstLine="241"/>
        <w:jc w:val="center"/>
        <w:spacing w:line="380" w:lineRule="exact"/>
        <w:rPr>
          <w:rFonts w:hint="eastAsia" w:hAnsi="宋体" w:eastAsia="宋体" w:cs="宋体"/>
          <w:b/>
          <w:sz w:val="24"/>
          <w:szCs w:val="24"/>
        </w:rPr>
      </w:pPr>
      <w:r>
        <w:rPr>
          <w:rFonts w:hint="eastAsia" w:hAnsi="宋体" w:eastAsia="宋体" w:cs="宋体"/>
          <w:b/>
          <w:sz w:val="24"/>
          <w:szCs w:val="24"/>
        </w:rPr>
        <w:t xml:space="preserve">响应报价表</w:t>
      </w:r>
      <w:r/>
    </w:p>
    <w:tbl>
      <w:tblPr>
        <w:tblStyle w:val="659"/>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42"/>
        <w:gridCol w:w="3878"/>
        <w:gridCol w:w="1982"/>
        <w:gridCol w:w="1081"/>
      </w:tblGrid>
      <w:tr>
        <w:trPr>
          <w:cantSplit/>
          <w:trHeight w:val="602"/>
        </w:trPr>
        <w:tc>
          <w:tcPr>
            <w:tcW w:w="2342" w:type="dxa"/>
            <w:vAlign w:val="center"/>
            <w:textDirection w:val="lrTb"/>
            <w:noWrap w:val="false"/>
          </w:tcPr>
          <w:p>
            <w:pPr>
              <w:jc w:val="center"/>
              <w:spacing w:line="360" w:lineRule="auto"/>
              <w:rPr>
                <w:rFonts w:hint="eastAsia" w:ascii="宋体" w:hAnsi="宋体" w:eastAsia="宋体" w:cs="宋体"/>
                <w:b/>
                <w:spacing w:val="20"/>
                <w:sz w:val="21"/>
                <w:szCs w:val="21"/>
              </w:rPr>
            </w:pPr>
            <w:r>
              <w:rPr>
                <w:rFonts w:hint="eastAsia" w:ascii="宋体" w:hAnsi="宋体" w:eastAsia="宋体" w:cs="宋体"/>
                <w:b/>
                <w:spacing w:val="20"/>
                <w:sz w:val="21"/>
                <w:szCs w:val="21"/>
              </w:rPr>
              <w:t xml:space="preserve">项目名称</w:t>
            </w:r>
            <w:r/>
          </w:p>
        </w:tc>
        <w:tc>
          <w:tcPr>
            <w:tcW w:w="3878" w:type="dxa"/>
            <w:vAlign w:val="center"/>
            <w:textDirection w:val="lrTb"/>
            <w:noWrap w:val="false"/>
          </w:tcPr>
          <w:p>
            <w:pPr>
              <w:jc w:val="center"/>
              <w:spacing w:line="360" w:lineRule="auto"/>
              <w:rPr>
                <w:rFonts w:hint="eastAsia" w:ascii="宋体" w:hAnsi="宋体" w:eastAsia="宋体" w:cs="宋体"/>
                <w:b/>
                <w:spacing w:val="20"/>
                <w:sz w:val="21"/>
                <w:szCs w:val="21"/>
              </w:rPr>
            </w:pPr>
            <w:r>
              <w:rPr>
                <w:rFonts w:hint="eastAsia" w:ascii="宋体" w:hAnsi="宋体" w:eastAsia="宋体" w:cs="宋体"/>
                <w:b/>
                <w:spacing w:val="20"/>
                <w:sz w:val="21"/>
                <w:szCs w:val="21"/>
              </w:rPr>
              <w:t xml:space="preserve">响应总价(元)</w:t>
            </w:r>
            <w:r/>
          </w:p>
        </w:tc>
        <w:tc>
          <w:tcPr>
            <w:tcW w:w="1982" w:type="dxa"/>
            <w:vAlign w:val="center"/>
            <w:textDirection w:val="lrTb"/>
            <w:noWrap w:val="false"/>
          </w:tcPr>
          <w:p>
            <w:pPr>
              <w:jc w:val="center"/>
              <w:spacing w:line="360" w:lineRule="auto"/>
              <w:rPr>
                <w:rFonts w:hint="eastAsia" w:ascii="宋体" w:hAnsi="宋体" w:eastAsia="宋体" w:cs="宋体"/>
                <w:b/>
                <w:spacing w:val="20"/>
                <w:sz w:val="21"/>
                <w:szCs w:val="21"/>
              </w:rPr>
            </w:pPr>
            <w:r>
              <w:rPr>
                <w:rFonts w:hint="eastAsia" w:ascii="宋体" w:hAnsi="宋体" w:eastAsia="宋体" w:cs="宋体"/>
                <w:b/>
                <w:spacing w:val="20"/>
                <w:sz w:val="21"/>
                <w:szCs w:val="21"/>
              </w:rPr>
              <w:t xml:space="preserve">服务期限</w:t>
            </w:r>
            <w:r/>
          </w:p>
        </w:tc>
        <w:tc>
          <w:tcPr>
            <w:tcW w:w="1081" w:type="dxa"/>
            <w:vAlign w:val="center"/>
            <w:textDirection w:val="lrTb"/>
            <w:noWrap w:val="false"/>
          </w:tcPr>
          <w:p>
            <w:pPr>
              <w:jc w:val="center"/>
              <w:spacing w:line="360" w:lineRule="auto"/>
              <w:rPr>
                <w:rFonts w:hint="eastAsia" w:ascii="宋体" w:hAnsi="宋体" w:eastAsia="宋体" w:cs="宋体"/>
                <w:b/>
                <w:spacing w:val="20"/>
                <w:sz w:val="21"/>
                <w:szCs w:val="21"/>
              </w:rPr>
            </w:pPr>
            <w:r>
              <w:rPr>
                <w:rFonts w:hint="eastAsia" w:ascii="宋体" w:hAnsi="宋体" w:eastAsia="宋体" w:cs="宋体"/>
                <w:b/>
                <w:spacing w:val="20"/>
                <w:sz w:val="21"/>
                <w:szCs w:val="21"/>
              </w:rPr>
              <w:t xml:space="preserve">税率%</w:t>
            </w:r>
            <w:r/>
          </w:p>
        </w:tc>
      </w:tr>
      <w:tr>
        <w:trPr>
          <w:cantSplit/>
          <w:trHeight w:val="936"/>
        </w:trPr>
        <w:tc>
          <w:tcPr>
            <w:tcW w:w="2342" w:type="dxa"/>
            <w:vAlign w:val="center"/>
            <w:textDirection w:val="lrTb"/>
            <w:noWrap w:val="false"/>
          </w:tcPr>
          <w:p>
            <w:pP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c>
          <w:tcPr>
            <w:tcW w:w="3878"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82"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81" w:type="dxa"/>
            <w:vAlign w:val="center"/>
            <w:textDirection w:val="lrTb"/>
            <w:noWrap w:val="false"/>
          </w:tcPr>
          <w:p>
            <w:pP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cantSplit/>
          <w:trHeight w:val="936"/>
        </w:trPr>
        <w:tc>
          <w:tcPr>
            <w:tcW w:w="2342" w:type="dxa"/>
            <w:vAlign w:val="center"/>
            <w:textDirection w:val="lrTb"/>
            <w:noWrap w:val="false"/>
          </w:tcPr>
          <w:p>
            <w:pPr>
              <w:ind w:left="260"/>
              <w:spacing w:line="360" w:lineRule="auto"/>
              <w:rPr>
                <w:rFonts w:hint="eastAsia" w:ascii="宋体" w:hAnsi="宋体" w:eastAsia="宋体" w:cs="宋体"/>
                <w:b/>
                <w:sz w:val="21"/>
                <w:szCs w:val="21"/>
              </w:rPr>
            </w:pPr>
            <w:r>
              <w:rPr>
                <w:rFonts w:hint="eastAsia" w:ascii="宋体" w:hAnsi="宋体" w:eastAsia="宋体" w:cs="宋体"/>
                <w:b/>
                <w:spacing w:val="20"/>
                <w:sz w:val="21"/>
                <w:szCs w:val="21"/>
              </w:rPr>
              <w:t xml:space="preserve">响应总价(元)</w:t>
            </w:r>
            <w:r/>
          </w:p>
        </w:tc>
        <w:tc>
          <w:tcPr>
            <w:gridSpan w:val="3"/>
            <w:tcW w:w="6941" w:type="dxa"/>
            <w:vAlign w:val="center"/>
            <w:textDirection w:val="lrTb"/>
            <w:noWrap w:val="false"/>
          </w:tcPr>
          <w:p>
            <w:pP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t xml:space="preserve">大写：</w:t>
            </w:r>
            <w:r/>
          </w:p>
        </w:tc>
      </w:tr>
    </w:tbl>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r>
      <w:r/>
    </w:p>
    <w:p>
      <w:pPr>
        <w:pStyle w:val="695"/>
        <w:ind w:firstLine="0"/>
        <w:rPr>
          <w:rFonts w:hint="eastAsia" w:ascii="宋体" w:hAnsi="宋体" w:eastAsia="宋体" w:cs="宋体"/>
          <w:sz w:val="24"/>
          <w:szCs w:val="24"/>
          <w:lang w:val="en-US"/>
        </w:rPr>
      </w:pPr>
      <w:r>
        <w:rPr>
          <w:rFonts w:hint="eastAsia" w:ascii="宋体" w:hAnsi="宋体" w:eastAsia="宋体" w:cs="宋体"/>
          <w:sz w:val="24"/>
          <w:szCs w:val="24"/>
          <w:lang w:val="en-US"/>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pStyle w:val="669"/>
        <w:ind w:firstLine="241"/>
        <w:jc w:val="center"/>
        <w:spacing w:line="380" w:lineRule="exact"/>
        <w:rPr>
          <w:rFonts w:hint="eastAsia" w:hAnsi="宋体" w:eastAsia="宋体" w:cs="宋体"/>
          <w:b/>
          <w:sz w:val="24"/>
          <w:szCs w:val="24"/>
        </w:rPr>
      </w:pPr>
      <w:r>
        <w:rPr>
          <w:rFonts w:hint="eastAsia" w:hAnsi="宋体" w:eastAsia="宋体" w:cs="宋体"/>
          <w:b/>
          <w:sz w:val="24"/>
          <w:szCs w:val="24"/>
        </w:rPr>
      </w:r>
      <w:r/>
    </w:p>
    <w:p>
      <w:pPr>
        <w:pStyle w:val="669"/>
        <w:ind w:firstLine="241"/>
        <w:jc w:val="center"/>
        <w:spacing w:line="380" w:lineRule="exact"/>
        <w:rPr>
          <w:rFonts w:hint="eastAsia" w:hAnsi="宋体" w:eastAsia="宋体"/>
          <w:b/>
          <w:sz w:val="24"/>
        </w:rPr>
      </w:pPr>
      <w:r>
        <w:rPr>
          <w:rFonts w:hint="eastAsia" w:hAnsi="宋体" w:eastAsia="宋体"/>
          <w:b/>
          <w:sz w:val="24"/>
        </w:rPr>
      </w:r>
      <w:r/>
    </w:p>
    <w:p>
      <w:pPr>
        <w:pStyle w:val="704"/>
        <w:ind w:firstLine="211"/>
        <w:jc w:val="center"/>
        <w:rPr>
          <w:rFonts w:hint="eastAsia" w:hAnsi="宋体" w:eastAsia="宋体"/>
          <w:b/>
          <w:sz w:val="21"/>
        </w:rPr>
      </w:pPr>
      <w:r>
        <w:rPr>
          <w:rFonts w:hint="eastAsia" w:hAnsi="宋体" w:eastAsia="宋体"/>
          <w:b/>
          <w:sz w:val="21"/>
        </w:rPr>
      </w:r>
      <w:r/>
    </w:p>
    <w:p>
      <w:pPr>
        <w:pStyle w:val="666"/>
        <w:ind w:left="520" w:firstLine="260"/>
      </w:pPr>
      <w:r/>
      <w:r/>
    </w:p>
    <w:p>
      <w:pPr>
        <w:pStyle w:val="691"/>
      </w:pPr>
      <w:r/>
      <w:r/>
    </w:p>
    <w:p>
      <w:r/>
      <w:r/>
    </w:p>
    <w:p>
      <w:pPr>
        <w:pStyle w:val="666"/>
        <w:ind w:left="520" w:firstLine="260"/>
      </w:pPr>
      <w:r/>
      <w:r/>
    </w:p>
    <w:p>
      <w:pPr>
        <w:pStyle w:val="691"/>
      </w:pPr>
      <w:r/>
      <w:r/>
    </w:p>
    <w:p>
      <w:r/>
      <w:r/>
    </w:p>
    <w:p>
      <w:pPr>
        <w:ind w:firstLine="210"/>
        <w:jc w:val="left"/>
        <w:spacing w:line="360" w:lineRule="auto"/>
        <w:rPr>
          <w:rFonts w:hint="eastAsia" w:ascii="宋体" w:hAnsi="宋体" w:eastAsia="宋体" w:cs="宋体"/>
          <w:sz w:val="21"/>
          <w:szCs w:val="24"/>
        </w:rPr>
      </w:pPr>
      <w:r>
        <w:rPr>
          <w:rFonts w:hint="eastAsia" w:ascii="宋体" w:hAnsi="宋体" w:eastAsia="宋体" w:cs="宋体"/>
          <w:sz w:val="21"/>
          <w:szCs w:val="24"/>
        </w:rPr>
      </w:r>
      <w:r/>
    </w:p>
    <w:p>
      <w:pPr>
        <w:pStyle w:val="689"/>
        <w:rPr>
          <w:rFonts w:hint="eastAsia" w:ascii="宋体" w:hAnsi="宋体" w:eastAsia="宋体" w:cs="宋体"/>
          <w:szCs w:val="24"/>
        </w:rPr>
      </w:pPr>
      <w:r>
        <w:rPr>
          <w:rFonts w:hint="eastAsia" w:ascii="宋体" w:hAnsi="宋体" w:eastAsia="宋体" w:cs="宋体"/>
          <w:szCs w:val="24"/>
        </w:rPr>
      </w:r>
      <w:r/>
    </w:p>
    <w:p>
      <w:pPr>
        <w:pStyle w:val="689"/>
        <w:rPr>
          <w:rFonts w:hint="eastAsia" w:ascii="宋体" w:hAnsi="宋体" w:eastAsia="宋体" w:cs="宋体"/>
          <w:szCs w:val="24"/>
        </w:rPr>
      </w:pPr>
      <w:r>
        <w:rPr>
          <w:rFonts w:hint="eastAsia" w:ascii="宋体" w:hAnsi="宋体" w:eastAsia="宋体" w:cs="宋体"/>
          <w:szCs w:val="24"/>
        </w:rPr>
      </w:r>
      <w:r/>
    </w:p>
    <w:p>
      <w:pPr>
        <w:pStyle w:val="689"/>
        <w:rPr>
          <w:rFonts w:hint="eastAsia" w:ascii="宋体" w:hAnsi="宋体" w:eastAsia="宋体" w:cs="宋体"/>
          <w:szCs w:val="24"/>
        </w:rPr>
      </w:pPr>
      <w:r>
        <w:rPr>
          <w:rFonts w:hint="eastAsia" w:ascii="宋体" w:hAnsi="宋体" w:eastAsia="宋体" w:cs="宋体"/>
          <w:szCs w:val="24"/>
        </w:rPr>
      </w:r>
      <w:r/>
    </w:p>
    <w:p>
      <w:pPr>
        <w:pStyle w:val="689"/>
        <w:rPr>
          <w:rFonts w:hint="eastAsia" w:ascii="宋体" w:hAnsi="宋体" w:eastAsia="宋体" w:cs="宋体"/>
          <w:szCs w:val="24"/>
        </w:rPr>
      </w:pPr>
      <w:r>
        <w:rPr>
          <w:rFonts w:hint="eastAsia" w:ascii="宋体" w:hAnsi="宋体" w:eastAsia="宋体" w:cs="宋体"/>
          <w:szCs w:val="24"/>
        </w:rPr>
      </w:r>
      <w:r/>
    </w:p>
    <w:p>
      <w:pPr>
        <w:pStyle w:val="689"/>
        <w:rPr>
          <w:rFonts w:hint="eastAsia" w:ascii="宋体" w:hAnsi="宋体" w:eastAsia="宋体" w:cs="宋体"/>
          <w:szCs w:val="24"/>
        </w:rPr>
      </w:pPr>
      <w:r>
        <w:rPr>
          <w:rFonts w:hint="eastAsia" w:ascii="宋体" w:hAnsi="宋体" w:eastAsia="宋体" w:cs="宋体"/>
          <w:szCs w:val="24"/>
        </w:rPr>
      </w:r>
      <w:r/>
    </w:p>
    <w:p>
      <w:pPr>
        <w:pStyle w:val="689"/>
        <w:rPr>
          <w:rFonts w:hint="eastAsia" w:ascii="宋体" w:hAnsi="宋体" w:eastAsia="宋体" w:cs="宋体"/>
          <w:szCs w:val="24"/>
        </w:rPr>
      </w:pPr>
      <w:r>
        <w:rPr>
          <w:rFonts w:hint="eastAsia" w:ascii="宋体" w:hAnsi="宋体" w:eastAsia="宋体" w:cs="宋体"/>
          <w:szCs w:val="24"/>
        </w:rPr>
      </w:r>
      <w:r/>
    </w:p>
    <w:p>
      <w:pPr>
        <w:pStyle w:val="689"/>
        <w:rPr>
          <w:rFonts w:hint="eastAsia" w:ascii="宋体" w:hAnsi="宋体" w:eastAsia="宋体" w:cs="宋体"/>
          <w:szCs w:val="24"/>
        </w:rPr>
      </w:pPr>
      <w:r>
        <w:rPr>
          <w:rFonts w:hint="eastAsia" w:ascii="宋体" w:hAnsi="宋体" w:eastAsia="宋体" w:cs="宋体"/>
          <w:szCs w:val="24"/>
        </w:rPr>
      </w:r>
      <w:r/>
    </w:p>
    <w:p>
      <w:pPr>
        <w:pStyle w:val="689"/>
        <w:rPr>
          <w:rFonts w:hint="eastAsia" w:ascii="宋体" w:hAnsi="宋体" w:eastAsia="宋体" w:cs="宋体"/>
          <w:szCs w:val="24"/>
        </w:rPr>
      </w:pPr>
      <w:r>
        <w:rPr>
          <w:rFonts w:hint="eastAsia" w:ascii="宋体" w:hAnsi="宋体" w:eastAsia="宋体" w:cs="宋体"/>
          <w:szCs w:val="24"/>
        </w:rPr>
      </w:r>
      <w:r/>
    </w:p>
    <w:p>
      <w:pPr>
        <w:pStyle w:val="669"/>
        <w:ind w:firstLine="241"/>
        <w:spacing w:line="380" w:lineRule="exact"/>
        <w:rPr>
          <w:rFonts w:hint="eastAsia" w:hAnsi="宋体" w:eastAsia="宋体"/>
          <w:b/>
          <w:sz w:val="24"/>
        </w:rPr>
      </w:pPr>
      <w:r>
        <w:rPr>
          <w:rFonts w:hint="eastAsia" w:hAnsi="宋体" w:eastAsia="宋体"/>
          <w:b/>
          <w:sz w:val="24"/>
        </w:rPr>
        <w:t xml:space="preserve">4、分项报价表</w:t>
      </w:r>
      <w:r/>
    </w:p>
    <w:p>
      <w:pPr>
        <w:pStyle w:val="740"/>
        <w:jc w:val="center"/>
        <w:spacing w:line="360" w:lineRule="auto"/>
        <w:rPr>
          <w:rFonts w:hint="eastAsia" w:hAnsi="宋体" w:eastAsia="宋体" w:cs="宋体"/>
          <w:sz w:val="24"/>
          <w:szCs w:val="24"/>
        </w:rPr>
      </w:pPr>
      <w:r>
        <w:rPr>
          <w:rFonts w:hint="eastAsia" w:hAnsi="宋体" w:eastAsia="宋体"/>
          <w:b/>
          <w:sz w:val="24"/>
        </w:rPr>
        <w:t xml:space="preserve">分项报价表</w:t>
      </w:r>
      <w:r/>
    </w:p>
    <w:tbl>
      <w:tblPr>
        <w:tblStyle w:val="659"/>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jc w:val="center"/>
          <w:trHeight w:val="567"/>
        </w:trPr>
        <w:tc>
          <w:tcPr>
            <w:tcW w:w="109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序号</w:t>
            </w:r>
            <w:r/>
          </w:p>
        </w:tc>
        <w:tc>
          <w:tcPr>
            <w:tcW w:w="309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费用条目</w:t>
            </w:r>
            <w:r/>
          </w:p>
        </w:tc>
        <w:tc>
          <w:tcPr>
            <w:tcW w:w="90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单位</w:t>
            </w:r>
            <w:r/>
          </w:p>
        </w:tc>
        <w:tc>
          <w:tcPr>
            <w:tcW w:w="90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数量</w:t>
            </w:r>
            <w:r/>
          </w:p>
        </w:tc>
        <w:tc>
          <w:tcPr>
            <w:tcW w:w="90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单价</w:t>
            </w:r>
            <w:r/>
          </w:p>
        </w:tc>
        <w:tc>
          <w:tcPr>
            <w:tcW w:w="90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总价</w:t>
            </w:r>
            <w:r/>
          </w:p>
        </w:tc>
        <w:tc>
          <w:tcPr>
            <w:tcW w:w="184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备注</w:t>
            </w:r>
            <w:r/>
          </w:p>
        </w:tc>
      </w:tr>
      <w:tr>
        <w:trPr>
          <w:jc w:val="center"/>
          <w:trHeight w:val="567"/>
        </w:trPr>
        <w:tc>
          <w:tcPr>
            <w:tcW w:w="1093"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3091"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184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r>
      <w:tr>
        <w:trPr>
          <w:jc w:val="center"/>
          <w:trHeight w:val="567"/>
        </w:trPr>
        <w:tc>
          <w:tcPr>
            <w:tcW w:w="1093"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3091" w:type="dxa"/>
            <w:vAlign w:val="center"/>
            <w:textDirection w:val="lrTb"/>
            <w:noWrap w:val="false"/>
          </w:tcPr>
          <w:p>
            <w:pPr>
              <w:pStyle w:val="661"/>
              <w:ind w:right="420" w:firstLine="0"/>
              <w:spacing w:line="360" w:lineRule="auto"/>
              <w:rPr>
                <w:rStyle w:val="684"/>
                <w:rFonts w:ascii="Tahoma" w:hAnsi="Tahoma" w:eastAsia="宋体"/>
              </w:rPr>
            </w:pPr>
            <w:r>
              <w:rPr>
                <w:rFonts w:ascii="Tahoma" w:hAnsi="Tahoma" w:eastAsia="宋体"/>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184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r>
      <w:tr>
        <w:trPr>
          <w:jc w:val="center"/>
          <w:trHeight w:val="567"/>
        </w:trPr>
        <w:tc>
          <w:tcPr>
            <w:tcW w:w="1093"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3091"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90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c>
          <w:tcPr>
            <w:tcW w:w="1846"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r>
            <w:r/>
          </w:p>
        </w:tc>
      </w:tr>
      <w:tr>
        <w:trPr>
          <w:jc w:val="center"/>
          <w:trHeight w:val="567"/>
        </w:trPr>
        <w:tc>
          <w:tcPr>
            <w:gridSpan w:val="2"/>
            <w:tcW w:w="4184"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t xml:space="preserve">合计金额：大写</w:t>
            </w:r>
            <w:r/>
          </w:p>
        </w:tc>
        <w:tc>
          <w:tcPr>
            <w:gridSpan w:val="5"/>
            <w:tcW w:w="5470"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szCs w:val="24"/>
              </w:rPr>
              <w:t xml:space="preserve">人民币（小写）（¥</w:t>
            </w:r>
            <w:r>
              <w:rPr>
                <w:rFonts w:hint="eastAsia" w:ascii="宋体" w:hAnsi="宋体" w:eastAsia="宋体" w:cs="宋体"/>
                <w:szCs w:val="24"/>
                <w:u w:val="single"/>
              </w:rPr>
              <w:t xml:space="preserve">      </w:t>
            </w:r>
            <w:r>
              <w:rPr>
                <w:rFonts w:hint="eastAsia" w:ascii="宋体" w:hAnsi="宋体" w:eastAsia="宋体" w:cs="宋体"/>
                <w:szCs w:val="24"/>
              </w:rPr>
              <w:t xml:space="preserve">元）</w:t>
            </w:r>
            <w:r/>
          </w:p>
        </w:tc>
      </w:tr>
      <w:tr>
        <w:trPr>
          <w:jc w:val="center"/>
          <w:trHeight w:val="567"/>
        </w:trPr>
        <w:tc>
          <w:tcPr>
            <w:gridSpan w:val="7"/>
            <w:tcW w:w="9654" w:type="dxa"/>
            <w:vAlign w:val="center"/>
            <w:textDirection w:val="lrTb"/>
            <w:noWrap w:val="false"/>
          </w:tcPr>
          <w:p>
            <w:pPr>
              <w:pStyle w:val="661"/>
              <w:ind w:right="420" w:firstLine="0"/>
              <w:spacing w:line="360" w:lineRule="auto"/>
              <w:rPr>
                <w:rFonts w:hint="eastAsia" w:ascii="宋体" w:hAnsi="宋体" w:eastAsia="宋体" w:cs="宋体"/>
                <w:szCs w:val="24"/>
              </w:rPr>
            </w:pPr>
            <w:r>
              <w:rPr>
                <w:rFonts w:hint="eastAsia" w:ascii="宋体" w:hAnsi="宋体" w:eastAsia="宋体" w:cs="宋体"/>
                <w:bCs/>
                <w:spacing w:val="20"/>
                <w:sz w:val="21"/>
                <w:szCs w:val="21"/>
              </w:rPr>
              <w:t xml:space="preserve">企业类型：</w:t>
            </w:r>
            <w:r>
              <w:rPr>
                <w:rFonts w:hint="eastAsia" w:ascii="宋体" w:hAnsi="宋体" w:eastAsia="宋体" w:cs="宋体"/>
                <w:szCs w:val="24"/>
              </w:rPr>
              <w:t xml:space="preserve">□中型企业    □小型企业     □微型企业     □残疾人福利性单位     □监狱企业</w:t>
            </w:r>
            <w:r/>
          </w:p>
        </w:tc>
      </w:tr>
    </w:tbl>
    <w:p>
      <w:pPr>
        <w:pStyle w:val="661"/>
        <w:ind w:right="420" w:firstLine="480"/>
        <w:spacing w:line="360" w:lineRule="auto"/>
        <w:rPr>
          <w:rFonts w:hint="eastAsia" w:ascii="宋体" w:hAnsi="宋体" w:eastAsia="宋体" w:cs="宋体"/>
          <w:szCs w:val="24"/>
        </w:rPr>
      </w:pPr>
      <w:r>
        <w:rPr>
          <w:rFonts w:hint="eastAsia" w:ascii="宋体" w:hAnsi="宋体" w:eastAsia="宋体" w:cs="宋体"/>
          <w:szCs w:val="24"/>
        </w:rPr>
      </w:r>
      <w:r/>
    </w:p>
    <w:p>
      <w:pPr>
        <w:pStyle w:val="661"/>
        <w:ind w:right="118" w:firstLine="0"/>
        <w:spacing w:line="360" w:lineRule="auto"/>
        <w:rPr>
          <w:rFonts w:hint="eastAsia" w:ascii="宋体" w:hAnsi="宋体" w:eastAsia="宋体" w:cs="宋体"/>
          <w:szCs w:val="24"/>
        </w:rPr>
      </w:pPr>
      <w:r>
        <w:rPr>
          <w:rFonts w:hint="eastAsia" w:ascii="宋体" w:hAnsi="宋体" w:eastAsia="宋体" w:cs="宋体"/>
          <w:szCs w:val="24"/>
        </w:rPr>
        <w:t xml:space="preserve">注：供应商须对全部采购内容进行报价。本表中合计金额应与“开标一览表”投标总价一致，否则，以《开标一览表》为准。</w:t>
      </w:r>
      <w:r/>
    </w:p>
    <w:p>
      <w:pPr>
        <w:spacing w:line="360" w:lineRule="auto"/>
        <w:rPr>
          <w:rFonts w:hint="eastAsia" w:ascii="宋体" w:hAnsi="宋体" w:cs="宋体"/>
          <w:sz w:val="21"/>
          <w:szCs w:val="24"/>
        </w:rPr>
      </w:pPr>
      <w:r>
        <w:rPr>
          <w:rFonts w:hint="eastAsia" w:ascii="宋体" w:hAnsi="宋体" w:cs="宋体"/>
          <w:sz w:val="21"/>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ind w:firstLine="241"/>
        <w:jc w:val="left"/>
        <w:spacing w:line="360" w:lineRule="auto"/>
        <w:rPr>
          <w:rFonts w:hint="eastAsia" w:ascii="宋体" w:hAnsi="宋体" w:eastAsia="宋体"/>
          <w:b/>
          <w:sz w:val="24"/>
          <w:szCs w:val="24"/>
        </w:rPr>
      </w:pPr>
      <w:r>
        <w:rPr>
          <w:rFonts w:hint="eastAsia" w:ascii="宋体" w:hAnsi="宋体" w:eastAsia="宋体"/>
          <w:b/>
          <w:sz w:val="24"/>
          <w:szCs w:val="24"/>
        </w:rPr>
      </w:r>
      <w:r/>
    </w:p>
    <w:p>
      <w:pPr>
        <w:pStyle w:val="689"/>
        <w:rPr>
          <w:rFonts w:hint="eastAsia" w:ascii="宋体" w:hAnsi="宋体" w:eastAsia="宋体"/>
          <w:b/>
          <w:sz w:val="24"/>
          <w:szCs w:val="24"/>
        </w:rPr>
      </w:pPr>
      <w:r>
        <w:rPr>
          <w:rFonts w:hint="eastAsia" w:ascii="宋体" w:hAnsi="宋体" w:eastAsia="宋体"/>
          <w:b/>
          <w:sz w:val="24"/>
          <w:szCs w:val="24"/>
        </w:rPr>
      </w:r>
      <w:r/>
    </w:p>
    <w:p>
      <w:pPr>
        <w:pStyle w:val="689"/>
        <w:rPr>
          <w:rFonts w:hint="eastAsia" w:ascii="宋体" w:hAnsi="宋体" w:eastAsia="宋体"/>
          <w:b/>
          <w:sz w:val="24"/>
          <w:szCs w:val="24"/>
        </w:rPr>
      </w:pPr>
      <w:r>
        <w:rPr>
          <w:rFonts w:hint="eastAsia" w:ascii="宋体" w:hAnsi="宋体" w:eastAsia="宋体"/>
          <w:b/>
          <w:sz w:val="24"/>
          <w:szCs w:val="24"/>
        </w:rPr>
      </w:r>
      <w:r/>
    </w:p>
    <w:p>
      <w:pPr>
        <w:pStyle w:val="689"/>
        <w:rPr>
          <w:rFonts w:hint="eastAsia" w:ascii="宋体" w:hAnsi="宋体" w:eastAsia="宋体"/>
          <w:b/>
          <w:sz w:val="24"/>
          <w:szCs w:val="24"/>
        </w:rPr>
      </w:pPr>
      <w:r>
        <w:rPr>
          <w:rFonts w:hint="eastAsia" w:ascii="宋体" w:hAnsi="宋体" w:eastAsia="宋体"/>
          <w:b/>
          <w:sz w:val="24"/>
          <w:szCs w:val="24"/>
        </w:rPr>
      </w:r>
      <w:r/>
    </w:p>
    <w:p>
      <w:pPr>
        <w:pStyle w:val="689"/>
        <w:rPr>
          <w:rFonts w:hint="eastAsia" w:ascii="宋体" w:hAnsi="宋体" w:eastAsia="宋体"/>
          <w:b/>
          <w:sz w:val="24"/>
          <w:szCs w:val="24"/>
        </w:rPr>
      </w:pPr>
      <w:r>
        <w:rPr>
          <w:rFonts w:hint="eastAsia" w:ascii="宋体" w:hAnsi="宋体" w:eastAsia="宋体"/>
          <w:b/>
          <w:sz w:val="24"/>
          <w:szCs w:val="24"/>
        </w:rPr>
      </w:r>
      <w:r/>
    </w:p>
    <w:p>
      <w:pPr>
        <w:pStyle w:val="689"/>
        <w:rPr>
          <w:rFonts w:hint="eastAsia" w:ascii="宋体" w:hAnsi="宋体" w:eastAsia="宋体"/>
          <w:b/>
          <w:sz w:val="24"/>
          <w:szCs w:val="24"/>
        </w:rPr>
      </w:pPr>
      <w:r>
        <w:rPr>
          <w:rFonts w:hint="eastAsia" w:ascii="宋体" w:hAnsi="宋体" w:eastAsia="宋体"/>
          <w:b/>
          <w:sz w:val="24"/>
          <w:szCs w:val="24"/>
        </w:rPr>
      </w:r>
      <w:r/>
    </w:p>
    <w:p>
      <w:pPr>
        <w:pStyle w:val="689"/>
        <w:rPr>
          <w:rFonts w:hint="eastAsia" w:ascii="宋体" w:hAnsi="宋体" w:eastAsia="宋体"/>
          <w:b/>
          <w:sz w:val="24"/>
          <w:szCs w:val="24"/>
        </w:rPr>
      </w:pPr>
      <w:r>
        <w:rPr>
          <w:rFonts w:hint="eastAsia" w:ascii="宋体" w:hAnsi="宋体" w:eastAsia="宋体"/>
          <w:b/>
          <w:sz w:val="24"/>
          <w:szCs w:val="24"/>
        </w:rPr>
      </w:r>
      <w:r/>
    </w:p>
    <w:p>
      <w:pPr>
        <w:pStyle w:val="689"/>
        <w:rPr>
          <w:rFonts w:hint="eastAsia" w:ascii="宋体" w:hAnsi="宋体" w:eastAsia="宋体"/>
          <w:b/>
          <w:sz w:val="24"/>
          <w:szCs w:val="24"/>
        </w:rPr>
      </w:pPr>
      <w:r>
        <w:rPr>
          <w:rFonts w:hint="eastAsia" w:ascii="宋体" w:hAnsi="宋体" w:eastAsia="宋体"/>
          <w:b/>
          <w:sz w:val="24"/>
          <w:szCs w:val="24"/>
        </w:rPr>
      </w:r>
      <w:r/>
    </w:p>
    <w:p>
      <w:pPr>
        <w:pStyle w:val="689"/>
        <w:rPr>
          <w:rFonts w:hint="eastAsia" w:ascii="宋体" w:hAnsi="宋体" w:eastAsia="宋体"/>
          <w:b/>
          <w:sz w:val="24"/>
          <w:szCs w:val="24"/>
        </w:rPr>
      </w:pPr>
      <w:r>
        <w:rPr>
          <w:rFonts w:hint="eastAsia" w:ascii="宋体" w:hAnsi="宋体" w:eastAsia="宋体"/>
          <w:b/>
          <w:sz w:val="24"/>
          <w:szCs w:val="24"/>
        </w:rPr>
      </w:r>
      <w:r/>
    </w:p>
    <w:p>
      <w:pPr>
        <w:pStyle w:val="689"/>
        <w:rPr>
          <w:rFonts w:hint="eastAsia" w:ascii="宋体" w:hAnsi="宋体" w:eastAsia="宋体"/>
          <w:b/>
          <w:sz w:val="24"/>
          <w:szCs w:val="24"/>
        </w:rPr>
      </w:pPr>
      <w:r>
        <w:rPr>
          <w:rFonts w:hint="eastAsia" w:ascii="宋体" w:hAnsi="宋体" w:eastAsia="宋体"/>
          <w:b/>
          <w:sz w:val="24"/>
          <w:szCs w:val="24"/>
        </w:rPr>
      </w:r>
      <w:r/>
    </w:p>
    <w:p>
      <w:pPr>
        <w:ind w:firstLine="241"/>
        <w:jc w:val="left"/>
        <w:spacing w:line="360" w:lineRule="auto"/>
        <w:rPr>
          <w:rFonts w:hint="eastAsia" w:ascii="宋体" w:hAnsi="宋体" w:eastAsia="宋体" w:cs="宋体"/>
          <w:b/>
          <w:sz w:val="21"/>
          <w:szCs w:val="24"/>
        </w:rPr>
      </w:pPr>
      <w:r>
        <w:rPr>
          <w:rFonts w:hint="eastAsia" w:ascii="宋体" w:hAnsi="宋体" w:eastAsia="宋体"/>
          <w:b/>
          <w:sz w:val="24"/>
          <w:szCs w:val="24"/>
        </w:rPr>
        <w:t xml:space="preserve">5、</w:t>
      </w:r>
      <w:r>
        <w:rPr>
          <w:rFonts w:hint="eastAsia" w:ascii="宋体" w:hAnsi="宋体" w:eastAsia="宋体"/>
          <w:b/>
          <w:sz w:val="24"/>
          <w:szCs w:val="24"/>
        </w:rPr>
        <w:t xml:space="preserve">人员配备一览表</w:t>
      </w:r>
      <w:r/>
    </w:p>
    <w:p>
      <w:pPr>
        <w:ind w:firstLine="241"/>
        <w:rPr>
          <w:rFonts w:hint="eastAsia" w:hAnsi="宋体" w:eastAsia="宋体"/>
          <w:b/>
          <w:sz w:val="24"/>
          <w:szCs w:val="24"/>
        </w:rPr>
      </w:pPr>
      <w:r>
        <w:rPr>
          <w:rFonts w:hint="eastAsia" w:hAnsi="宋体" w:eastAsia="宋体"/>
          <w:b/>
          <w:sz w:val="24"/>
          <w:szCs w:val="24"/>
        </w:rPr>
        <w:t xml:space="preserve">（1）人员配备一览表</w:t>
      </w:r>
      <w:r/>
    </w:p>
    <w:p>
      <w:pPr>
        <w:ind w:firstLine="211"/>
        <w:jc w:val="center"/>
        <w:spacing w:line="480" w:lineRule="exact"/>
        <w:rPr>
          <w:rFonts w:hint="eastAsia" w:ascii="宋体" w:hAnsi="宋体" w:eastAsia="宋体"/>
          <w:b/>
          <w:sz w:val="21"/>
          <w:szCs w:val="21"/>
        </w:rPr>
      </w:pPr>
      <w:r>
        <w:rPr>
          <w:rFonts w:hint="eastAsia" w:ascii="宋体" w:hAnsi="宋体" w:eastAsia="宋体"/>
          <w:b/>
          <w:sz w:val="21"/>
          <w:szCs w:val="21"/>
        </w:rPr>
      </w:r>
      <w:r/>
    </w:p>
    <w:tbl>
      <w:tblPr>
        <w:tblStyle w:val="659"/>
        <w:tblW w:w="10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800"/>
        <w:gridCol w:w="733"/>
        <w:gridCol w:w="833"/>
        <w:gridCol w:w="817"/>
        <w:gridCol w:w="1983"/>
        <w:gridCol w:w="1634"/>
        <w:gridCol w:w="854"/>
        <w:gridCol w:w="854"/>
      </w:tblGrid>
      <w:tr>
        <w:trPr>
          <w:trHeight w:val="1121"/>
        </w:trPr>
        <w:tc>
          <w:tcPr>
            <w:tcW w:w="591" w:type="dxa"/>
            <w:vAlign w:val="center"/>
            <w:textDirection w:val="lrTb"/>
            <w:noWrap w:val="false"/>
          </w:tcPr>
          <w:p>
            <w:pPr>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800" w:type="dxa"/>
            <w:vAlign w:val="center"/>
            <w:textDirection w:val="lrTb"/>
            <w:noWrap w:val="false"/>
          </w:tcPr>
          <w:p>
            <w:pPr>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在本项目中负责的岗位（按照采购要求填写）</w:t>
            </w:r>
            <w:r/>
          </w:p>
        </w:tc>
        <w:tc>
          <w:tcPr>
            <w:tcW w:w="733" w:type="dxa"/>
            <w:vAlign w:val="center"/>
            <w:textDirection w:val="lrTb"/>
            <w:noWrap w:val="false"/>
          </w:tcPr>
          <w:p>
            <w:pPr>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833" w:type="dxa"/>
            <w:vAlign w:val="center"/>
            <w:textDirection w:val="lrTb"/>
            <w:noWrap w:val="false"/>
          </w:tcPr>
          <w:p>
            <w:pPr>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817" w:type="dxa"/>
            <w:vAlign w:val="center"/>
            <w:textDirection w:val="lrTb"/>
            <w:noWrap w:val="false"/>
          </w:tcPr>
          <w:p>
            <w:pPr>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983" w:type="dxa"/>
            <w:vAlign w:val="center"/>
            <w:textDirection w:val="lrTb"/>
            <w:noWrap w:val="false"/>
          </w:tcPr>
          <w:p>
            <w:pPr>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资质及从业资历(按照采购要求填写是否满足)</w:t>
            </w:r>
            <w:r/>
          </w:p>
        </w:tc>
        <w:tc>
          <w:tcPr>
            <w:tcW w:w="1634" w:type="dxa"/>
            <w:vAlign w:val="center"/>
            <w:textDirection w:val="lrTb"/>
            <w:noWrap w:val="false"/>
          </w:tcPr>
          <w:p>
            <w:pPr>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资质证书名称、等级、编号等</w:t>
            </w:r>
            <w:r/>
          </w:p>
        </w:tc>
        <w:tc>
          <w:tcPr>
            <w:tcW w:w="854" w:type="dxa"/>
            <w:vAlign w:val="center"/>
            <w:textDirection w:val="lrTb"/>
            <w:noWrap w:val="false"/>
          </w:tcPr>
          <w:p>
            <w:pPr>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职称</w:t>
            </w:r>
            <w:r/>
          </w:p>
        </w:tc>
        <w:tc>
          <w:tcPr>
            <w:tcW w:w="854" w:type="dxa"/>
            <w:vAlign w:val="center"/>
            <w:textDirection w:val="lrTb"/>
            <w:noWrap w:val="false"/>
          </w:tcPr>
          <w:p>
            <w:pPr>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r>
      <w:tr>
        <w:trPr>
          <w:cantSplit/>
          <w:trHeight w:val="495"/>
        </w:trPr>
        <w:tc>
          <w:tcPr>
            <w:tcW w:w="591"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800"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3"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8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34"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591"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800"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8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34"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591"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800"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8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34"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591"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800"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8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34"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591"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800" w:type="dxa"/>
            <w:vAlign w:val="center"/>
            <w:textDirection w:val="lrTb"/>
            <w:noWrap w:val="false"/>
          </w:tcPr>
          <w:p>
            <w:pPr>
              <w:spacing w:after="181"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W w:w="73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83"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34"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210"/>
        <w:spacing w:before="240" w:after="60" w:line="312" w:lineRule="auto"/>
        <w:rPr>
          <w:rFonts w:hint="eastAsia" w:ascii="宋体" w:hAnsi="宋体" w:eastAsia="宋体"/>
          <w:sz w:val="21"/>
          <w:szCs w:val="21"/>
        </w:rPr>
        <w:outlineLvl w:val="1"/>
      </w:pPr>
      <w:r>
        <w:rPr>
          <w:rFonts w:hint="eastAsia" w:ascii="宋体" w:hAnsi="宋体" w:eastAsia="宋体"/>
          <w:sz w:val="21"/>
          <w:szCs w:val="21"/>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jc w:val="left"/>
        <w:spacing w:line="360" w:lineRule="auto"/>
        <w:rPr>
          <w:rFonts w:hint="eastAsia" w:asciiTheme="minorEastAsia" w:hAnsiTheme="minorEastAsia" w:eastAsiaTheme="minorEastAsia"/>
          <w:sz w:val="24"/>
          <w:szCs w:val="24"/>
        </w:rPr>
      </w:pPr>
      <w:r>
        <w:rPr>
          <w:rFonts w:hint="eastAsia" w:hAnsi="宋体" w:eastAsia="宋体"/>
          <w:sz w:val="24"/>
        </w:rPr>
        <w:t xml:space="preserve">日期:</w:t>
      </w:r>
      <w:r>
        <w:rPr>
          <w:rFonts w:hint="eastAsia" w:asciiTheme="minorEastAsia" w:hAnsiTheme="minorEastAsia" w:eastAsiaTheme="minorEastAsia"/>
          <w:sz w:val="24"/>
          <w:szCs w:val="24"/>
        </w:rPr>
        <w:t xml:space="preserve"> 年　　月　　日</w:t>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pStyle w:val="665"/>
        <w:ind w:firstLine="210"/>
        <w:rPr>
          <w:rFonts w:hint="eastAsia" w:ascii="宋体" w:hAnsi="宋体" w:eastAsia="宋体"/>
          <w:sz w:val="21"/>
          <w:szCs w:val="21"/>
        </w:rPr>
      </w:pPr>
      <w:r>
        <w:rPr>
          <w:rFonts w:hint="eastAsia" w:ascii="宋体" w:hAnsi="宋体" w:eastAsia="宋体"/>
          <w:sz w:val="21"/>
          <w:szCs w:val="21"/>
        </w:rPr>
      </w:r>
      <w:r/>
    </w:p>
    <w:p>
      <w:pPr>
        <w:ind w:firstLine="241"/>
        <w:rPr>
          <w:rFonts w:hint="eastAsia" w:hAnsi="宋体" w:eastAsia="宋体"/>
          <w:b/>
          <w:sz w:val="24"/>
          <w:szCs w:val="24"/>
        </w:rPr>
      </w:pPr>
      <w:r>
        <w:rPr>
          <w:rFonts w:hint="eastAsia" w:hAnsi="宋体" w:eastAsia="宋体"/>
          <w:b/>
          <w:sz w:val="24"/>
          <w:szCs w:val="24"/>
        </w:rPr>
        <w:t xml:space="preserve">（2）拟投入本项目的负责人简历表</w:t>
      </w:r>
      <w:r/>
    </w:p>
    <w:tbl>
      <w:tblPr>
        <w:tblStyle w:val="659"/>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0"/>
        <w:gridCol w:w="1189"/>
        <w:gridCol w:w="808"/>
        <w:gridCol w:w="1428"/>
        <w:gridCol w:w="1181"/>
        <w:gridCol w:w="1491"/>
        <w:gridCol w:w="1481"/>
      </w:tblGrid>
      <w:tr>
        <w:trPr>
          <w:cantSplit/>
          <w:trHeight w:val="654"/>
        </w:trPr>
        <w:tc>
          <w:tcPr>
            <w:tcW w:w="1600"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p>
        </w:tc>
        <w:tc>
          <w:tcPr>
            <w:tcW w:w="1189"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808"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性 别</w:t>
            </w:r>
            <w:r/>
          </w:p>
        </w:tc>
        <w:tc>
          <w:tcPr>
            <w:tcW w:w="1428"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81"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出生日期</w:t>
            </w:r>
            <w:r/>
          </w:p>
        </w:tc>
        <w:tc>
          <w:tcPr>
            <w:gridSpan w:val="2"/>
            <w:tcW w:w="2972"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年   月   日</w:t>
            </w:r>
            <w:r/>
          </w:p>
        </w:tc>
      </w:tr>
      <w:tr>
        <w:trPr>
          <w:cantSplit/>
          <w:trHeight w:val="570"/>
        </w:trPr>
        <w:tc>
          <w:tcPr>
            <w:tcW w:w="1600"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毕业院校</w:t>
            </w:r>
            <w:r/>
          </w:p>
        </w:tc>
        <w:tc>
          <w:tcPr>
            <w:gridSpan w:val="3"/>
            <w:tcW w:w="3425"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81" w:type="dxa"/>
            <w:vAlign w:val="center"/>
            <w:textDirection w:val="lrTb"/>
            <w:noWrap w:val="false"/>
          </w:tcPr>
          <w:p>
            <w:pP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毕业时间</w:t>
            </w:r>
            <w:r/>
          </w:p>
        </w:tc>
        <w:tc>
          <w:tcPr>
            <w:gridSpan w:val="2"/>
            <w:tcW w:w="2972" w:type="dxa"/>
            <w:vAlign w:val="center"/>
            <w:textDirection w:val="lrTb"/>
            <w:noWrap w:val="false"/>
          </w:tcPr>
          <w:p>
            <w:pPr>
              <w:ind w:left="45"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年   月   日</w:t>
            </w:r>
            <w:r/>
          </w:p>
        </w:tc>
      </w:tr>
      <w:tr>
        <w:trPr>
          <w:trHeight w:val="556"/>
        </w:trPr>
        <w:tc>
          <w:tcPr>
            <w:tcW w:w="1600"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专业</w:t>
            </w:r>
            <w:r/>
          </w:p>
        </w:tc>
        <w:tc>
          <w:tcPr>
            <w:gridSpan w:val="2"/>
            <w:tcW w:w="1997"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609"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从事本专业时间</w:t>
            </w:r>
            <w:r/>
          </w:p>
        </w:tc>
        <w:tc>
          <w:tcPr>
            <w:gridSpan w:val="2"/>
            <w:tcW w:w="2972"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56"/>
        </w:trPr>
        <w:tc>
          <w:tcPr>
            <w:tcW w:w="1600"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职务</w:t>
            </w:r>
            <w:r/>
          </w:p>
        </w:tc>
        <w:tc>
          <w:tcPr>
            <w:gridSpan w:val="2"/>
            <w:tcW w:w="1997"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609"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职称</w:t>
            </w:r>
            <w:r/>
          </w:p>
        </w:tc>
        <w:tc>
          <w:tcPr>
            <w:gridSpan w:val="2"/>
            <w:tcW w:w="2972"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56"/>
        </w:trPr>
        <w:tc>
          <w:tcPr>
            <w:tcW w:w="1600"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执业资格</w:t>
            </w:r>
            <w:r/>
          </w:p>
        </w:tc>
        <w:tc>
          <w:tcPr>
            <w:gridSpan w:val="2"/>
            <w:tcW w:w="1997"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609"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p>
        </w:tc>
        <w:tc>
          <w:tcPr>
            <w:gridSpan w:val="2"/>
            <w:tcW w:w="2972"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56"/>
        </w:trPr>
        <w:tc>
          <w:tcPr>
            <w:gridSpan w:val="7"/>
            <w:tcW w:w="9178"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主  要  经  历</w:t>
            </w:r>
            <w:r/>
          </w:p>
        </w:tc>
      </w:tr>
      <w:tr>
        <w:trPr>
          <w:trHeight w:val="980"/>
        </w:trPr>
        <w:tc>
          <w:tcPr>
            <w:tcW w:w="1600"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时   间</w:t>
            </w:r>
            <w:r/>
          </w:p>
        </w:tc>
        <w:tc>
          <w:tcPr>
            <w:gridSpan w:val="5"/>
            <w:tcW w:w="6097"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参加过的项目名称及规模</w:t>
            </w:r>
            <w:r/>
          </w:p>
        </w:tc>
        <w:tc>
          <w:tcPr>
            <w:tcW w:w="1481" w:type="dxa"/>
            <w:vAlign w:val="center"/>
            <w:textDirection w:val="lrTb"/>
            <w:noWrap w:val="false"/>
          </w:tcPr>
          <w:p>
            <w:pPr>
              <w:ind w:firstLine="210"/>
              <w:jc w:val="center"/>
              <w:spacing w:after="181" w:line="360" w:lineRule="auto"/>
              <w:rPr>
                <w:rFonts w:hint="eastAsia" w:ascii="宋体" w:hAnsi="宋体" w:eastAsia="宋体" w:cs="宋体"/>
                <w:sz w:val="21"/>
                <w:szCs w:val="21"/>
              </w:rPr>
            </w:pPr>
            <w:r>
              <w:rPr>
                <w:rFonts w:hint="eastAsia" w:ascii="宋体" w:hAnsi="宋体" w:eastAsia="宋体" w:cs="宋体"/>
                <w:sz w:val="21"/>
                <w:szCs w:val="21"/>
              </w:rPr>
              <w:t xml:space="preserve">该项目中任职</w:t>
            </w:r>
            <w:r/>
          </w:p>
        </w:tc>
      </w:tr>
      <w:tr>
        <w:trPr>
          <w:trHeight w:val="1174"/>
        </w:trPr>
        <w:tc>
          <w:tcPr>
            <w:tcW w:w="1600"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6097"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1"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174"/>
        </w:trPr>
        <w:tc>
          <w:tcPr>
            <w:tcW w:w="1600"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6097"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1"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174"/>
        </w:trPr>
        <w:tc>
          <w:tcPr>
            <w:tcW w:w="1600"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6097"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1"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174"/>
        </w:trPr>
        <w:tc>
          <w:tcPr>
            <w:tcW w:w="1600"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6097"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1" w:type="dxa"/>
            <w:textDirection w:val="lrTb"/>
            <w:noWrap w:val="false"/>
          </w:tcPr>
          <w:p>
            <w:pPr>
              <w:ind w:firstLine="210"/>
              <w:spacing w:after="181"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210"/>
        <w:spacing w:line="36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jc w:val="left"/>
        <w:spacing w:line="360" w:lineRule="auto"/>
        <w:rPr>
          <w:rFonts w:hint="eastAsia" w:asciiTheme="minorEastAsia" w:hAnsiTheme="minorEastAsia" w:eastAsiaTheme="minorEastAsia"/>
          <w:sz w:val="24"/>
          <w:szCs w:val="24"/>
        </w:rPr>
      </w:pPr>
      <w:r>
        <w:rPr>
          <w:rFonts w:hint="eastAsia" w:hAnsi="宋体" w:eastAsia="宋体"/>
          <w:sz w:val="24"/>
        </w:rPr>
        <w:t xml:space="preserve">日期:</w:t>
      </w:r>
      <w:r>
        <w:rPr>
          <w:rFonts w:hint="eastAsia" w:asciiTheme="minorEastAsia" w:hAnsiTheme="minorEastAsia" w:eastAsiaTheme="minorEastAsia"/>
          <w:sz w:val="24"/>
          <w:szCs w:val="24"/>
        </w:rPr>
        <w:t xml:space="preserve"> 年　　月　　日</w:t>
      </w:r>
      <w:r/>
    </w:p>
    <w:p>
      <w:pPr>
        <w:ind w:firstLine="210"/>
        <w:spacing w:line="360" w:lineRule="exact"/>
        <w:rPr>
          <w:rFonts w:hint="eastAsia" w:ascii="宋体" w:hAnsi="宋体" w:eastAsia="宋体" w:cs="宋体"/>
          <w:sz w:val="21"/>
          <w:szCs w:val="21"/>
        </w:rPr>
      </w:pPr>
      <w:r>
        <w:rPr>
          <w:rFonts w:hint="eastAsia" w:ascii="宋体" w:hAnsi="宋体" w:eastAsia="宋体" w:cs="宋体"/>
          <w:sz w:val="21"/>
          <w:szCs w:val="21"/>
        </w:rPr>
      </w:r>
      <w:r/>
    </w:p>
    <w:p>
      <w:pPr>
        <w:ind w:left="3400" w:firstLine="210"/>
        <w:jc w:val="right"/>
        <w:spacing w:line="360" w:lineRule="exact"/>
        <w:rPr>
          <w:rFonts w:hint="eastAsia" w:ascii="宋体" w:hAnsi="宋体" w:eastAsia="宋体"/>
          <w:sz w:val="21"/>
          <w:szCs w:val="21"/>
        </w:rPr>
      </w:pPr>
      <w:r>
        <w:rPr>
          <w:rFonts w:hint="eastAsia" w:ascii="宋体" w:hAnsi="宋体" w:eastAsia="宋体"/>
          <w:sz w:val="21"/>
          <w:szCs w:val="21"/>
        </w:rPr>
      </w:r>
      <w:r/>
    </w:p>
    <w:p>
      <w:pPr>
        <w:ind w:left="3400" w:firstLine="210"/>
        <w:jc w:val="right"/>
        <w:spacing w:line="360" w:lineRule="exact"/>
        <w:rPr>
          <w:rFonts w:hint="eastAsia" w:ascii="宋体" w:hAnsi="宋体" w:eastAsia="宋体"/>
          <w:sz w:val="21"/>
          <w:szCs w:val="21"/>
        </w:rPr>
      </w:pPr>
      <w:r>
        <w:rPr>
          <w:rFonts w:hint="eastAsia" w:ascii="宋体" w:hAnsi="宋体" w:eastAsia="宋体"/>
          <w:sz w:val="21"/>
          <w:szCs w:val="21"/>
        </w:rPr>
      </w:r>
      <w:r/>
    </w:p>
    <w:p>
      <w:pPr>
        <w:ind w:left="3400" w:firstLine="210"/>
        <w:jc w:val="right"/>
        <w:spacing w:line="360" w:lineRule="exact"/>
        <w:rPr>
          <w:rFonts w:hint="eastAsia" w:ascii="宋体" w:hAnsi="宋体" w:eastAsia="宋体"/>
          <w:sz w:val="21"/>
          <w:szCs w:val="21"/>
        </w:rPr>
      </w:pPr>
      <w:r>
        <w:rPr>
          <w:rFonts w:hint="eastAsia" w:ascii="宋体" w:hAnsi="宋体" w:eastAsia="宋体"/>
          <w:sz w:val="21"/>
          <w:szCs w:val="21"/>
        </w:rPr>
      </w:r>
      <w:r/>
    </w:p>
    <w:p>
      <w:pPr>
        <w:ind w:left="3400" w:firstLine="210"/>
        <w:jc w:val="right"/>
        <w:spacing w:line="360" w:lineRule="exact"/>
        <w:rPr>
          <w:rFonts w:hint="eastAsia" w:ascii="宋体" w:hAnsi="宋体" w:eastAsia="宋体"/>
          <w:sz w:val="21"/>
          <w:szCs w:val="21"/>
        </w:rPr>
      </w:pPr>
      <w:r>
        <w:rPr>
          <w:rFonts w:hint="eastAsia" w:ascii="宋体" w:hAnsi="宋体" w:eastAsia="宋体"/>
          <w:sz w:val="21"/>
          <w:szCs w:val="21"/>
        </w:rPr>
      </w:r>
      <w:r/>
    </w:p>
    <w:p>
      <w:pPr>
        <w:ind w:left="3400" w:firstLine="210"/>
        <w:jc w:val="right"/>
        <w:spacing w:line="360" w:lineRule="exact"/>
        <w:rPr>
          <w:rFonts w:hint="eastAsia" w:ascii="宋体" w:hAnsi="宋体" w:eastAsia="宋体"/>
          <w:sz w:val="21"/>
          <w:szCs w:val="21"/>
        </w:rPr>
      </w:pPr>
      <w:r>
        <w:rPr>
          <w:rFonts w:hint="eastAsia" w:ascii="宋体" w:hAnsi="宋体" w:eastAsia="宋体"/>
          <w:sz w:val="21"/>
          <w:szCs w:val="21"/>
        </w:rPr>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6、类似业绩一览表</w:t>
      </w:r>
      <w:r/>
    </w:p>
    <w:p>
      <w:pPr>
        <w:ind w:firstLine="211"/>
        <w:spacing w:line="360" w:lineRule="auto"/>
        <w:rPr>
          <w:rFonts w:hint="eastAsia" w:ascii="宋体" w:hAnsi="宋体" w:eastAsia="宋体"/>
          <w:b/>
          <w:sz w:val="21"/>
        </w:rPr>
      </w:pPr>
      <w:r>
        <w:rPr>
          <w:rFonts w:hint="eastAsia" w:ascii="宋体" w:hAnsi="宋体" w:eastAsia="宋体"/>
          <w:b/>
          <w:sz w:val="21"/>
        </w:rPr>
      </w:r>
      <w:r/>
    </w:p>
    <w:p>
      <w:pPr>
        <w:ind w:firstLine="281"/>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类似业绩一览表</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916"/>
        <w:gridCol w:w="1750"/>
        <w:gridCol w:w="1750"/>
        <w:gridCol w:w="1395"/>
      </w:tblGrid>
      <w:tr>
        <w:trPr>
          <w:jc w:val="center"/>
          <w:trHeight w:val="1253"/>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rPr>
                <w:rFonts w:hint="eastAsia" w:ascii="宋体" w:hAnsi="宋体" w:eastAsia="宋体"/>
                <w:sz w:val="21"/>
              </w:rPr>
            </w:pPr>
            <w:r>
              <w:rPr>
                <w:rFonts w:hint="eastAsia" w:ascii="宋体" w:hAnsi="宋体" w:eastAsia="宋体"/>
                <w:sz w:val="21"/>
              </w:rPr>
              <w:t xml:space="preserve">序号</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rPr>
                <w:rFonts w:hint="eastAsia" w:ascii="宋体" w:hAnsi="宋体" w:eastAsia="宋体"/>
                <w:sz w:val="21"/>
              </w:rPr>
            </w:pPr>
            <w:r>
              <w:rPr>
                <w:rFonts w:hint="eastAsia" w:ascii="宋体" w:hAnsi="宋体" w:eastAsia="宋体"/>
                <w:sz w:val="21"/>
              </w:rPr>
              <w:t xml:space="preserve">合同名称</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210"/>
              <w:jc w:val="center"/>
              <w:tabs>
                <w:tab w:val="left" w:pos="6252" w:leader="none"/>
              </w:tabs>
              <w:rPr>
                <w:rFonts w:hint="eastAsia" w:ascii="宋体" w:hAnsi="宋体" w:eastAsia="宋体"/>
                <w:sz w:val="21"/>
              </w:rPr>
            </w:pPr>
            <w:r>
              <w:rPr>
                <w:rFonts w:hint="eastAsia" w:ascii="宋体" w:hAnsi="宋体" w:eastAsia="宋体"/>
                <w:sz w:val="21"/>
              </w:rPr>
              <w:t xml:space="preserve">业主单位</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661"/>
              <w:ind w:firstLine="210"/>
              <w:jc w:val="center"/>
              <w:rPr>
                <w:rFonts w:hint="eastAsia" w:ascii="宋体" w:hAnsi="宋体" w:eastAsia="宋体"/>
                <w:bCs/>
                <w:sz w:val="21"/>
                <w:szCs w:val="21"/>
              </w:rPr>
            </w:pPr>
            <w:r>
              <w:rPr>
                <w:rFonts w:hint="eastAsia" w:ascii="宋体" w:hAnsi="宋体" w:eastAsia="宋体"/>
                <w:bCs/>
                <w:sz w:val="21"/>
                <w:szCs w:val="21"/>
              </w:rPr>
              <w:t xml:space="preserve">合同金额</w:t>
            </w:r>
            <w:r/>
          </w:p>
          <w:p>
            <w:pPr>
              <w:pStyle w:val="661"/>
              <w:ind w:firstLine="210"/>
              <w:jc w:val="center"/>
              <w:rPr>
                <w:rFonts w:hint="eastAsia" w:ascii="宋体" w:hAnsi="宋体" w:eastAsia="宋体"/>
                <w:sz w:val="21"/>
              </w:rPr>
            </w:pPr>
            <w:r>
              <w:rPr>
                <w:rFonts w:hint="eastAsia" w:ascii="宋体" w:hAnsi="宋体" w:eastAsia="宋体"/>
                <w:bCs/>
                <w:sz w:val="21"/>
                <w:szCs w:val="21"/>
              </w:rPr>
              <w:t xml:space="preserve">（万元）</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tabs>
                <w:tab w:val="left" w:pos="6252" w:leader="none"/>
              </w:tabs>
              <w:rPr>
                <w:rFonts w:hint="eastAsia" w:ascii="宋体" w:hAnsi="宋体" w:eastAsia="宋体"/>
                <w:sz w:val="21"/>
              </w:rPr>
            </w:pPr>
            <w:r>
              <w:rPr>
                <w:rFonts w:hint="eastAsia" w:ascii="宋体" w:hAnsi="宋体" w:eastAsia="宋体"/>
                <w:sz w:val="21"/>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t xml:space="preserve">1</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t xml:space="preserve">2</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t xml:space="preserve">3</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t xml:space="preserve">4</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t xml:space="preserve">5</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t xml:space="preserve">6</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t xml:space="preserve">7</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t xml:space="preserve">…</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210"/>
              <w:jc w:val="center"/>
              <w:spacing w:line="400" w:lineRule="exact"/>
              <w:rPr>
                <w:rFonts w:hint="eastAsia" w:ascii="宋体" w:hAnsi="宋体" w:eastAsia="宋体"/>
                <w:sz w:val="21"/>
              </w:rPr>
            </w:pPr>
            <w:r>
              <w:rPr>
                <w:rFonts w:hint="eastAsia" w:ascii="宋体" w:hAnsi="宋体" w:eastAsia="宋体"/>
                <w:sz w:val="21"/>
              </w:rPr>
            </w:r>
            <w:r/>
          </w:p>
        </w:tc>
      </w:tr>
    </w:tbl>
    <w:p>
      <w:pPr>
        <w:ind w:firstLine="210"/>
        <w:spacing w:before="181" w:line="360" w:lineRule="auto"/>
        <w:rPr>
          <w:rFonts w:hint="eastAsia" w:ascii="宋体" w:hAnsi="宋体" w:eastAsia="宋体"/>
          <w:sz w:val="21"/>
        </w:rPr>
      </w:pPr>
      <w:r>
        <w:rPr>
          <w:rFonts w:hint="eastAsia" w:ascii="宋体" w:hAnsi="宋体" w:eastAsia="宋体"/>
          <w:sz w:val="21"/>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响应供应商：（单位公章）</w:t>
      </w:r>
      <w:r/>
    </w:p>
    <w:p>
      <w:pPr>
        <w:jc w:val="left"/>
        <w:spacing w:line="360" w:lineRule="auto"/>
        <w:rPr>
          <w:rFonts w:hint="eastAsia" w:asciiTheme="minorEastAsia" w:hAnsiTheme="minorEastAsia" w:eastAsiaTheme="minorEastAsia"/>
          <w:sz w:val="24"/>
          <w:szCs w:val="24"/>
        </w:rPr>
      </w:pP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r>
      <w:r/>
    </w:p>
    <w:p>
      <w:pPr>
        <w:ind w:firstLine="522"/>
        <w:spacing w:line="360" w:lineRule="auto"/>
        <w:rPr>
          <w:rFonts w:hint="eastAsia" w:ascii="宋体" w:hAnsi="宋体" w:eastAsia="宋体"/>
          <w:b/>
          <w:sz w:val="24"/>
          <w:szCs w:val="24"/>
        </w:rPr>
      </w:pPr>
      <w:r>
        <w:rPr>
          <w:rFonts w:hint="eastAsia" w:ascii="宋体" w:hAnsi="宋体" w:eastAsia="宋体"/>
          <w:b/>
        </w:rPr>
        <w:t xml:space="preserve">7、</w:t>
      </w:r>
      <w:r>
        <w:rPr>
          <w:rFonts w:hint="eastAsia" w:ascii="宋体" w:hAnsi="宋体" w:eastAsia="宋体"/>
          <w:b/>
          <w:sz w:val="24"/>
          <w:szCs w:val="24"/>
        </w:rPr>
        <w:t xml:space="preserve">偏离表</w:t>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t xml:space="preserve">服务要求偏离表</w:t>
      </w:r>
      <w:r/>
    </w:p>
    <w:p>
      <w:pPr>
        <w:rPr>
          <w:rFonts w:hint="eastAsia" w:ascii="宋体" w:hAnsi="宋体" w:eastAsia="宋体"/>
          <w:sz w:val="24"/>
          <w:szCs w:val="24"/>
        </w:rPr>
      </w:pPr>
      <w:r>
        <w:rPr>
          <w:rFonts w:hint="eastAsia" w:ascii="宋体" w:hAnsi="宋体" w:eastAsia="宋体"/>
          <w:sz w:val="24"/>
          <w:szCs w:val="24"/>
        </w:rPr>
        <w:t xml:space="preserve">单位名称（盖章）：                             </w:t>
      </w:r>
      <w:r/>
    </w:p>
    <w:tbl>
      <w:tblPr>
        <w:tblStyle w:val="65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hint="eastAsia" w:ascii="宋体" w:hAnsi="宋体" w:eastAsia="宋体"/>
                <w:sz w:val="24"/>
                <w:szCs w:val="24"/>
              </w:rPr>
            </w:pPr>
            <w:r>
              <w:rPr>
                <w:rFonts w:hint="eastAsia" w:ascii="宋体" w:hAnsi="宋体" w:eastAsia="宋体"/>
                <w:sz w:val="24"/>
                <w:szCs w:val="24"/>
              </w:rPr>
              <w:t xml:space="preserve">序号</w:t>
            </w:r>
            <w:r/>
          </w:p>
        </w:tc>
        <w:tc>
          <w:tcPr>
            <w:tcW w:w="180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服务内容</w:t>
            </w:r>
            <w:r/>
          </w:p>
        </w:tc>
        <w:tc>
          <w:tcPr>
            <w:tcW w:w="162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采购要求</w:t>
            </w:r>
            <w:r/>
          </w:p>
        </w:tc>
        <w:tc>
          <w:tcPr>
            <w:tcW w:w="144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响应要求</w:t>
            </w:r>
            <w:r/>
          </w:p>
        </w:tc>
        <w:tc>
          <w:tcPr>
            <w:tcW w:w="169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偏离/响应</w:t>
            </w:r>
            <w:r/>
          </w:p>
        </w:tc>
        <w:tc>
          <w:tcPr>
            <w:tcW w:w="175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说明</w:t>
            </w:r>
            <w:r/>
          </w:p>
        </w:tc>
      </w:tr>
      <w:tr>
        <w:trPr>
          <w:jc w:val="center"/>
        </w:trPr>
        <w:tc>
          <w:tcPr>
            <w:tcW w:w="82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80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4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99"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757"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Pr>
        <w:tc>
          <w:tcPr>
            <w:tcW w:w="82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80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4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99"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757"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Pr>
        <w:tc>
          <w:tcPr>
            <w:tcW w:w="82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80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4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99"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757"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Pr>
        <w:tc>
          <w:tcPr>
            <w:tcW w:w="82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80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4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99"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757"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Pr>
        <w:tc>
          <w:tcPr>
            <w:tcW w:w="82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80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4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99"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757"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Pr>
        <w:tc>
          <w:tcPr>
            <w:tcW w:w="82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80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2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44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699"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W w:w="1757"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spacing w:line="360" w:lineRule="auto"/>
        <w:rPr>
          <w:rFonts w:hint="eastAsia" w:ascii="宋体" w:hAnsi="宋体" w:eastAsia="宋体"/>
          <w:sz w:val="24"/>
          <w:szCs w:val="24"/>
        </w:rPr>
      </w:pPr>
      <w:r>
        <w:rPr>
          <w:rFonts w:hint="eastAsia" w:ascii="宋体" w:hAnsi="宋体" w:eastAsia="宋体"/>
          <w:sz w:val="24"/>
          <w:szCs w:val="24"/>
        </w:rPr>
        <w:t xml:space="preserve">注：1、磋商响应单位应对照竞争性磋商文件技术要求等要求，所响应标的物与竞争性磋商文件的规定有偏离的，应在此表中申明与技术要求条文的偏差和例外。</w:t>
      </w:r>
      <w:r/>
    </w:p>
    <w:p>
      <w:pPr>
        <w:ind w:firstLine="360"/>
        <w:spacing w:line="360" w:lineRule="auto"/>
        <w:rPr>
          <w:rFonts w:hint="eastAsia" w:ascii="宋体" w:hAnsi="宋体" w:eastAsia="宋体"/>
          <w:sz w:val="24"/>
          <w:szCs w:val="24"/>
        </w:rPr>
      </w:pPr>
      <w:r>
        <w:rPr>
          <w:rFonts w:hint="eastAsia" w:ascii="宋体" w:hAnsi="宋体" w:eastAsia="宋体"/>
          <w:sz w:val="24"/>
          <w:szCs w:val="24"/>
        </w:rPr>
        <w:t xml:space="preserve">2、未在上表中说明的，如在响应文件其他内容中已有文字说明的，则以已有文字说明为准，否则，将被认为完全响应竞争性磋商文件的规定。但该表不作为磋商响应单位对所响应标的物关于服务要求等详细描述和说明的替代。</w:t>
      </w:r>
      <w:r/>
    </w:p>
    <w:p>
      <w:pPr>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磋商响应单位（公章）：</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日期：</w:t>
      </w:r>
      <w:r/>
    </w:p>
    <w:p>
      <w:pPr>
        <w:rPr>
          <w:rFonts w:hint="eastAsia" w:ascii="宋体" w:hAnsi="宋体" w:eastAsia="宋体"/>
          <w:b/>
          <w:sz w:val="24"/>
          <w:szCs w:val="24"/>
        </w:rPr>
      </w:pPr>
      <w:r>
        <w:rPr>
          <w:rFonts w:ascii="宋体" w:hAnsi="宋体" w:eastAsia="宋体" w:cs="宋体"/>
          <w:sz w:val="24"/>
          <w:szCs w:val="24"/>
        </w:rPr>
        <w:br w:type="page" w:clear="all"/>
      </w:r>
      <w:r>
        <w:rPr>
          <w:rFonts w:hint="eastAsia" w:ascii="宋体" w:hAnsi="宋体" w:eastAsia="宋体"/>
          <w:b/>
          <w:sz w:val="24"/>
          <w:szCs w:val="24"/>
        </w:rPr>
        <w:t xml:space="preserve">商务条款偏离表</w:t>
      </w:r>
      <w:r/>
    </w:p>
    <w:p>
      <w:pPr>
        <w:jc w:val="center"/>
        <w:widowControl/>
        <w:rPr>
          <w:rFonts w:hint="eastAsia" w:ascii="宋体" w:hAnsi="宋体" w:eastAsia="宋体"/>
          <w:b/>
          <w:sz w:val="24"/>
          <w:szCs w:val="24"/>
        </w:rPr>
      </w:pPr>
      <w:r>
        <w:rPr>
          <w:rFonts w:hint="eastAsia" w:ascii="宋体" w:hAnsi="宋体" w:eastAsia="宋体"/>
          <w:b/>
          <w:sz w:val="24"/>
          <w:szCs w:val="24"/>
        </w:rPr>
      </w:r>
      <w:r/>
    </w:p>
    <w:p>
      <w:pPr>
        <w:jc w:val="left"/>
        <w:widowControl/>
        <w:rPr>
          <w:rFonts w:hint="eastAsia" w:ascii="宋体" w:hAnsi="宋体" w:eastAsia="宋体"/>
          <w:b/>
          <w:sz w:val="24"/>
          <w:szCs w:val="24"/>
        </w:rPr>
      </w:pPr>
      <w:r>
        <w:rPr>
          <w:rFonts w:hint="eastAsia" w:ascii="宋体" w:hAnsi="宋体" w:eastAsia="宋体"/>
          <w:b/>
          <w:sz w:val="24"/>
          <w:szCs w:val="24"/>
        </w:rPr>
      </w:r>
      <w:r/>
    </w:p>
    <w:p>
      <w:pPr>
        <w:jc w:val="center"/>
        <w:widowControl/>
        <w:rPr>
          <w:rFonts w:hint="eastAsia" w:ascii="宋体" w:hAnsi="宋体" w:eastAsia="宋体"/>
          <w:b/>
          <w:sz w:val="24"/>
          <w:szCs w:val="24"/>
        </w:rPr>
      </w:pPr>
      <w:r>
        <w:rPr>
          <w:rFonts w:hint="eastAsia" w:ascii="宋体" w:hAnsi="宋体" w:eastAsia="宋体"/>
          <w:b/>
          <w:sz w:val="24"/>
          <w:szCs w:val="24"/>
        </w:rPr>
        <w:t xml:space="preserve">商务条款偏离表</w:t>
      </w:r>
      <w:r/>
    </w:p>
    <w:p>
      <w:pPr>
        <w:rPr>
          <w:rFonts w:hint="eastAsia" w:ascii="宋体" w:hAnsi="宋体" w:eastAsia="宋体"/>
          <w:sz w:val="24"/>
          <w:szCs w:val="24"/>
        </w:rPr>
      </w:pPr>
      <w:r>
        <w:rPr>
          <w:rFonts w:hint="eastAsia" w:ascii="宋体" w:hAnsi="宋体" w:eastAsia="宋体"/>
          <w:sz w:val="24"/>
          <w:szCs w:val="24"/>
        </w:rPr>
        <w:t xml:space="preserve">单位名称（盖章）：                              </w:t>
      </w:r>
      <w:r/>
    </w:p>
    <w:tbl>
      <w:tblPr>
        <w:tblStyle w:val="65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519"/>
        <w:gridCol w:w="2693"/>
        <w:gridCol w:w="2400"/>
        <w:gridCol w:w="1185"/>
      </w:tblGrid>
      <w:tr>
        <w:trPr>
          <w:jc w:val="center"/>
        </w:trPr>
        <w:tc>
          <w:tcPr>
            <w:tcW w:w="708" w:type="dxa"/>
            <w:textDirection w:val="lrTb"/>
            <w:noWrap w:val="false"/>
          </w:tcPr>
          <w:p>
            <w:pPr>
              <w:jc w:val="center"/>
              <w:spacing w:before="240" w:after="240"/>
              <w:rPr>
                <w:rFonts w:hint="eastAsia" w:ascii="宋体" w:hAnsi="宋体" w:eastAsia="宋体"/>
                <w:sz w:val="24"/>
                <w:szCs w:val="24"/>
              </w:rPr>
            </w:pPr>
            <w:r>
              <w:rPr>
                <w:rFonts w:hint="eastAsia" w:ascii="宋体" w:hAnsi="宋体" w:eastAsia="宋体"/>
                <w:sz w:val="24"/>
                <w:szCs w:val="24"/>
              </w:rPr>
              <w:t xml:space="preserve">序号</w:t>
            </w:r>
            <w:r/>
          </w:p>
        </w:tc>
        <w:tc>
          <w:tcPr>
            <w:tcW w:w="2519" w:type="dxa"/>
            <w:textDirection w:val="lrTb"/>
            <w:noWrap w:val="false"/>
          </w:tcPr>
          <w:p>
            <w:pPr>
              <w:jc w:val="center"/>
              <w:spacing w:before="240" w:after="240"/>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W w:w="2693" w:type="dxa"/>
            <w:textDirection w:val="lrTb"/>
            <w:noWrap w:val="false"/>
          </w:tcPr>
          <w:p>
            <w:pPr>
              <w:jc w:val="center"/>
              <w:spacing w:before="240" w:after="240"/>
              <w:rPr>
                <w:rFonts w:hint="eastAsia" w:ascii="宋体" w:hAnsi="宋体" w:eastAsia="宋体"/>
                <w:sz w:val="24"/>
                <w:szCs w:val="24"/>
              </w:rPr>
            </w:pPr>
            <w:r>
              <w:rPr>
                <w:rFonts w:hint="eastAsia" w:ascii="宋体" w:hAnsi="宋体" w:eastAsia="宋体"/>
                <w:sz w:val="24"/>
                <w:szCs w:val="24"/>
              </w:rPr>
              <w:t xml:space="preserve">竞争性磋商文件的商务条款</w:t>
            </w:r>
            <w:r/>
          </w:p>
        </w:tc>
        <w:tc>
          <w:tcPr>
            <w:tcW w:w="2400" w:type="dxa"/>
            <w:textDirection w:val="lrTb"/>
            <w:noWrap w:val="false"/>
          </w:tcPr>
          <w:p>
            <w:pPr>
              <w:jc w:val="center"/>
              <w:spacing w:before="240" w:after="240"/>
              <w:rPr>
                <w:rFonts w:hint="eastAsia" w:ascii="宋体" w:hAnsi="宋体" w:eastAsia="宋体"/>
                <w:sz w:val="24"/>
                <w:szCs w:val="24"/>
              </w:rPr>
            </w:pPr>
            <w:r>
              <w:rPr>
                <w:rFonts w:hint="eastAsia" w:ascii="宋体" w:hAnsi="宋体" w:eastAsia="宋体"/>
                <w:sz w:val="24"/>
                <w:szCs w:val="24"/>
              </w:rPr>
              <w:t xml:space="preserve">磋商响应文件的商务条款</w:t>
            </w:r>
            <w:r/>
          </w:p>
        </w:tc>
        <w:tc>
          <w:tcPr>
            <w:tcW w:w="1185" w:type="dxa"/>
            <w:textDirection w:val="lrTb"/>
            <w:noWrap w:val="false"/>
          </w:tcPr>
          <w:p>
            <w:pPr>
              <w:jc w:val="center"/>
              <w:spacing w:before="240" w:after="240"/>
              <w:rPr>
                <w:rFonts w:hint="eastAsia" w:ascii="宋体" w:hAnsi="宋体" w:eastAsia="宋体"/>
                <w:sz w:val="24"/>
                <w:szCs w:val="24"/>
              </w:rPr>
            </w:pPr>
            <w:r>
              <w:rPr>
                <w:rFonts w:hint="eastAsia" w:ascii="宋体" w:hAnsi="宋体" w:eastAsia="宋体"/>
                <w:sz w:val="24"/>
                <w:szCs w:val="24"/>
              </w:rPr>
              <w:t xml:space="preserve">说明</w:t>
            </w:r>
            <w:r/>
          </w:p>
        </w:tc>
      </w:tr>
      <w:tr>
        <w:trPr>
          <w:jc w:val="center"/>
        </w:trPr>
        <w:tc>
          <w:tcPr>
            <w:tcW w:w="70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519"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693"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185"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519"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693"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185"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519"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693"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185"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519"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693"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185"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519"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693"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185"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519"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693"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185"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r>
      <w:tr>
        <w:trPr>
          <w:jc w:val="center"/>
        </w:trPr>
        <w:tc>
          <w:tcPr>
            <w:tcW w:w="708"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519"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693"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2400"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c>
          <w:tcPr>
            <w:tcW w:w="1185" w:type="dxa"/>
            <w:textDirection w:val="lrTb"/>
            <w:noWrap w:val="false"/>
          </w:tcPr>
          <w:p>
            <w:pPr>
              <w:spacing w:before="240" w:after="240"/>
              <w:rPr>
                <w:rFonts w:hint="eastAsia" w:ascii="宋体" w:hAnsi="宋体" w:eastAsia="宋体"/>
                <w:sz w:val="24"/>
                <w:szCs w:val="24"/>
              </w:rPr>
            </w:pPr>
            <w:r>
              <w:rPr>
                <w:rFonts w:hint="eastAsia" w:ascii="宋体" w:hAnsi="宋体" w:eastAsia="宋体"/>
                <w:sz w:val="24"/>
                <w:szCs w:val="24"/>
              </w:rPr>
            </w:r>
            <w:r/>
          </w:p>
        </w:tc>
      </w:tr>
    </w:tbl>
    <w:p>
      <w:pPr>
        <w:spacing w:line="360" w:lineRule="auto"/>
        <w:rPr>
          <w:rFonts w:hint="eastAsia" w:ascii="宋体" w:hAnsi="宋体" w:eastAsia="宋体"/>
          <w:sz w:val="24"/>
          <w:szCs w:val="24"/>
        </w:rPr>
      </w:pPr>
      <w:r>
        <w:rPr>
          <w:rFonts w:hint="eastAsia" w:ascii="宋体" w:hAnsi="宋体" w:eastAsia="宋体"/>
          <w:sz w:val="24"/>
          <w:szCs w:val="24"/>
        </w:rPr>
        <w:t xml:space="preserve">注：磋商响应单位的磋商响应文件（除服务要求部分）与竞争性磋商文件规定的有偏离的，应在此表中说明。未在上表中说明的，如在响应文件其他内容中已有文字说明的，则以已有文字说明为准，否则，将被认为完全响应竞争性磋商文件的规定。但该表不作为磋商响应单位对所投标服务关于商务条款等详细描述和说明的替代。</w:t>
      </w:r>
      <w:r/>
    </w:p>
    <w:p>
      <w:pPr>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磋商响应单位（公章）：</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ind w:firstLine="480"/>
        <w:jc w:val="left"/>
        <w:spacing w:line="360" w:lineRule="auto"/>
        <w:rPr>
          <w:rFonts w:hint="eastAsia" w:ascii="宋体" w:hAnsi="宋体" w:eastAsia="宋体"/>
          <w:b/>
          <w:sz w:val="24"/>
          <w:szCs w:val="24"/>
        </w:rPr>
      </w:pPr>
      <w:r>
        <w:rPr>
          <w:rFonts w:hint="eastAsia" w:ascii="宋体" w:hAnsi="宋体" w:eastAsia="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61"/>
        <w:ind w:firstLine="241"/>
        <w:rPr>
          <w:rFonts w:hint="eastAsia" w:ascii="宋体" w:hAnsi="宋体" w:eastAsia="宋体"/>
          <w:b/>
        </w:rPr>
      </w:pPr>
      <w:r>
        <w:rPr>
          <w:rFonts w:hint="eastAsia" w:ascii="宋体" w:hAnsi="宋体" w:eastAsia="宋体"/>
          <w:b/>
        </w:rPr>
        <w:t xml:space="preserve">8、资格证明文件</w:t>
      </w:r>
      <w:r/>
    </w:p>
    <w:p>
      <w:pPr>
        <w:pStyle w:val="661"/>
        <w:ind w:firstLine="241"/>
        <w:rPr>
          <w:rFonts w:hint="eastAsia" w:ascii="宋体" w:hAnsi="宋体" w:eastAsia="宋体"/>
          <w:b/>
        </w:rPr>
      </w:pPr>
      <w:r>
        <w:rPr>
          <w:rFonts w:hint="eastAsia" w:ascii="宋体" w:hAnsi="宋体" w:eastAsia="宋体"/>
          <w:b/>
        </w:rPr>
      </w:r>
      <w:r/>
    </w:p>
    <w:p>
      <w:pPr>
        <w:pStyle w:val="661"/>
        <w:ind w:firstLine="241"/>
        <w:rPr>
          <w:rFonts w:hint="eastAsia" w:ascii="宋体" w:hAnsi="宋体" w:eastAsia="宋体"/>
          <w:b/>
        </w:rPr>
      </w:pPr>
      <w:r>
        <w:rPr>
          <w:rFonts w:hint="eastAsia" w:ascii="宋体" w:hAnsi="宋体" w:eastAsia="宋体"/>
          <w:b/>
        </w:rPr>
      </w:r>
      <w:r/>
    </w:p>
    <w:p>
      <w:pPr>
        <w:pStyle w:val="661"/>
        <w:ind w:firstLine="241"/>
        <w:jc w:val="both"/>
        <w:rPr>
          <w:rFonts w:hint="eastAsia" w:ascii="宋体" w:hAnsi="宋体" w:eastAsia="宋体"/>
          <w:b/>
        </w:rPr>
      </w:pPr>
      <w:r>
        <w:rPr>
          <w:rFonts w:hint="eastAsia" w:ascii="宋体" w:hAnsi="宋体" w:eastAsia="宋体"/>
          <w:b/>
        </w:rPr>
        <w:t xml:space="preserve">(1)、关于资格文件的声明函</w:t>
      </w:r>
      <w:r/>
    </w:p>
    <w:p>
      <w:pPr>
        <w:pStyle w:val="661"/>
        <w:ind w:firstLine="241"/>
        <w:rPr>
          <w:rFonts w:hint="eastAsia" w:ascii="宋体" w:hAnsi="宋体" w:eastAsia="宋体"/>
          <w:b/>
        </w:rPr>
      </w:pPr>
      <w:r>
        <w:rPr>
          <w:rFonts w:hint="eastAsia" w:ascii="宋体" w:hAnsi="宋体" w:eastAsia="宋体"/>
          <w:b/>
        </w:rPr>
      </w:r>
      <w:r/>
    </w:p>
    <w:p>
      <w:pPr>
        <w:pStyle w:val="661"/>
        <w:ind w:firstLine="240"/>
        <w:rPr>
          <w:rFonts w:hint="eastAsia" w:ascii="宋体" w:hAnsi="宋体" w:eastAsia="宋体"/>
        </w:rPr>
      </w:pPr>
      <w:r>
        <w:rPr>
          <w:rFonts w:hint="eastAsia" w:ascii="宋体" w:hAnsi="宋体" w:eastAsia="宋体"/>
        </w:rPr>
      </w:r>
      <w:r/>
    </w:p>
    <w:p>
      <w:pPr>
        <w:pStyle w:val="661"/>
        <w:ind w:firstLine="240"/>
        <w:jc w:val="center"/>
        <w:rPr>
          <w:rFonts w:hint="eastAsia" w:ascii="宋体" w:hAnsi="宋体" w:eastAsia="宋体"/>
        </w:rPr>
      </w:pPr>
      <w:r>
        <w:rPr>
          <w:rFonts w:hint="eastAsia" w:ascii="宋体" w:hAnsi="宋体" w:eastAsia="宋体"/>
        </w:rPr>
        <w:t xml:space="preserve">关于资格文件的声明函</w:t>
      </w:r>
      <w:r/>
    </w:p>
    <w:p>
      <w:pPr>
        <w:pStyle w:val="661"/>
        <w:ind w:firstLine="240"/>
        <w:jc w:val="center"/>
        <w:rPr>
          <w:rFonts w:hint="eastAsia" w:ascii="宋体" w:hAnsi="宋体" w:eastAsia="宋体"/>
        </w:rPr>
      </w:pPr>
      <w:r>
        <w:rPr>
          <w:rFonts w:hint="eastAsia" w:ascii="宋体" w:hAnsi="宋体" w:eastAsia="宋体"/>
        </w:rPr>
      </w:r>
      <w:r/>
    </w:p>
    <w:p>
      <w:pPr>
        <w:pStyle w:val="704"/>
        <w:ind w:firstLine="2860"/>
        <w:spacing w:line="360" w:lineRule="auto"/>
        <w:rPr>
          <w:rFonts w:hint="eastAsia" w:hAnsi="宋体" w:eastAsia="宋体"/>
          <w:sz w:val="21"/>
          <w:szCs w:val="21"/>
          <w:u w:val="single"/>
        </w:rPr>
      </w:pPr>
      <w:r>
        <w:rPr>
          <w:rFonts w:hint="eastAsia" w:hAnsi="宋体" w:eastAsia="宋体"/>
        </w:rPr>
        <w:t xml:space="preserve">：</w:t>
      </w:r>
      <w:r/>
    </w:p>
    <w:p>
      <w:pPr>
        <w:pStyle w:val="661"/>
        <w:ind w:firstLine="240"/>
        <w:spacing w:line="360" w:lineRule="auto"/>
        <w:rPr>
          <w:rFonts w:hint="eastAsia" w:ascii="宋体" w:hAnsi="宋体" w:eastAsia="宋体"/>
        </w:rPr>
      </w:pPr>
      <w:r>
        <w:rPr>
          <w:rFonts w:hint="eastAsia" w:ascii="宋体" w:hAnsi="宋体" w:eastAsia="宋体"/>
        </w:rPr>
        <w:t xml:space="preserve">本公司愿就由贵公司组织实施的采购编号为</w:t>
      </w:r>
      <w:r>
        <w:rPr>
          <w:rFonts w:hint="eastAsia" w:ascii="宋体" w:hAnsi="宋体" w:eastAsia="宋体"/>
          <w:u w:val="single"/>
        </w:rPr>
        <w:t xml:space="preserve">      </w:t>
      </w:r>
      <w:r>
        <w:rPr>
          <w:rFonts w:hint="eastAsia" w:ascii="宋体" w:hAnsi="宋体" w:eastAsia="宋体"/>
        </w:rPr>
        <w:t xml:space="preserve">号的磋商采购活动进行响应。本公司所提交的响应文件中所有关于磋商资格的文件、证明和陈述均是真实的、准确的。若与真实情况不符，本公司愿意承担由此而产生的一切后果。</w:t>
      </w:r>
      <w:r/>
    </w:p>
    <w:p>
      <w:pPr>
        <w:pStyle w:val="661"/>
        <w:ind w:firstLine="240"/>
        <w:spacing w:line="360" w:lineRule="auto"/>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ascii="宋体" w:hAnsi="宋体" w:eastAsia="宋体"/>
        </w:rPr>
        <w:tab/>
      </w:r>
      <w:r>
        <w:rPr>
          <w:rFonts w:ascii="宋体" w:hAnsi="宋体" w:eastAsia="宋体"/>
        </w:rPr>
        <w:tab/>
      </w:r>
      <w:r>
        <w:rPr>
          <w:rFonts w:ascii="宋体" w:hAnsi="宋体" w:eastAsia="宋体"/>
        </w:rPr>
        <w:tab/>
      </w:r>
      <w:r>
        <w:rPr>
          <w:rFonts w:ascii="宋体" w:hAnsi="宋体" w:eastAsia="宋体"/>
        </w:rPr>
        <w:tab/>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响应供应商：（单位公章）</w:t>
      </w:r>
      <w:r/>
    </w:p>
    <w:p>
      <w:pPr>
        <w:jc w:val="left"/>
        <w:spacing w:line="360" w:lineRule="auto"/>
        <w:rPr>
          <w:rFonts w:hint="eastAsia" w:asciiTheme="minorEastAsia" w:hAnsiTheme="minorEastAsia" w:eastAsiaTheme="minorEastAsia"/>
          <w:sz w:val="24"/>
          <w:szCs w:val="24"/>
        </w:rPr>
      </w:pP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0"/>
        <w:spacing w:line="400" w:lineRule="exact"/>
        <w:rPr>
          <w:rFonts w:hint="eastAsia" w:ascii="宋体" w:hAnsi="宋体" w:eastAsia="宋体"/>
        </w:rPr>
      </w:pPr>
      <w:r>
        <w:rPr>
          <w:rFonts w:hint="eastAsia" w:ascii="宋体" w:hAnsi="宋体" w:eastAsia="宋体"/>
        </w:rPr>
      </w:r>
      <w:r/>
    </w:p>
    <w:p>
      <w:pPr>
        <w:pStyle w:val="661"/>
        <w:ind w:firstLine="241"/>
        <w:rPr>
          <w:rFonts w:hint="eastAsia" w:ascii="宋体" w:hAnsi="宋体" w:eastAsia="宋体"/>
          <w:b/>
        </w:rPr>
      </w:pPr>
      <w:r>
        <w:rPr>
          <w:rFonts w:hint="eastAsia" w:ascii="宋体" w:hAnsi="宋体" w:eastAsia="宋体"/>
          <w:b/>
        </w:rPr>
        <w:t xml:space="preserve"> (2)、磋商供应商情况表</w:t>
      </w:r>
      <w:r/>
    </w:p>
    <w:tbl>
      <w:tblPr>
        <w:tblStyle w:val="659"/>
        <w:tblW w:w="926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法定代表人</w:t>
            </w:r>
            <w:r/>
          </w:p>
        </w:tc>
        <w:tc>
          <w:tcPr>
            <w:tcW w:w="2005" w:type="dxa"/>
            <w:textDirection w:val="lrTb"/>
            <w:noWrap w:val="false"/>
          </w:tcPr>
          <w:p>
            <w:pPr>
              <w:pStyle w:val="661"/>
              <w:ind w:firstLine="240"/>
              <w:rPr>
                <w:rFonts w:hint="eastAsia" w:ascii="宋体" w:hAnsi="宋体" w:eastAsia="宋体"/>
              </w:rPr>
            </w:pPr>
            <w:r>
              <w:rPr>
                <w:rFonts w:hint="eastAsia" w:ascii="宋体" w:hAnsi="宋体" w:eastAsia="宋体"/>
              </w:rPr>
            </w:r>
            <w:r/>
          </w:p>
        </w:tc>
        <w:tc>
          <w:tcPr>
            <w:tcW w:w="1461" w:type="dxa"/>
            <w:textDirection w:val="lrTb"/>
            <w:noWrap w:val="false"/>
          </w:tcPr>
          <w:p>
            <w:pPr>
              <w:pStyle w:val="661"/>
              <w:ind w:firstLine="240"/>
              <w:rPr>
                <w:rFonts w:hint="eastAsia" w:ascii="宋体" w:hAnsi="宋体" w:eastAsia="宋体"/>
              </w:rPr>
            </w:pPr>
            <w:r>
              <w:rPr>
                <w:rFonts w:hint="eastAsia" w:ascii="宋体" w:hAnsi="宋体" w:eastAsia="宋体"/>
              </w:rPr>
              <w:t xml:space="preserve">成立日期</w:t>
            </w:r>
            <w:r/>
          </w:p>
        </w:tc>
        <w:tc>
          <w:tcPr>
            <w:gridSpan w:val="2"/>
            <w:tcW w:w="3292"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企业地址</w:t>
            </w:r>
            <w:r/>
          </w:p>
        </w:tc>
        <w:tc>
          <w:tcPr>
            <w:tcW w:w="2005" w:type="dxa"/>
            <w:textDirection w:val="lrTb"/>
            <w:noWrap w:val="false"/>
          </w:tcPr>
          <w:p>
            <w:pPr>
              <w:pStyle w:val="661"/>
              <w:ind w:firstLine="240"/>
              <w:rPr>
                <w:rFonts w:hint="eastAsia" w:ascii="宋体" w:hAnsi="宋体" w:eastAsia="宋体"/>
              </w:rPr>
            </w:pPr>
            <w:r>
              <w:rPr>
                <w:rFonts w:hint="eastAsia" w:ascii="宋体" w:hAnsi="宋体" w:eastAsia="宋体"/>
              </w:rPr>
            </w:r>
            <w:r/>
          </w:p>
        </w:tc>
        <w:tc>
          <w:tcPr>
            <w:tcW w:w="1461" w:type="dxa"/>
            <w:textDirection w:val="lrTb"/>
            <w:noWrap w:val="false"/>
          </w:tcPr>
          <w:p>
            <w:pPr>
              <w:pStyle w:val="661"/>
              <w:ind w:firstLine="240"/>
              <w:rPr>
                <w:rFonts w:hint="eastAsia" w:ascii="宋体" w:hAnsi="宋体" w:eastAsia="宋体"/>
              </w:rPr>
            </w:pPr>
            <w:r>
              <w:rPr>
                <w:rFonts w:hint="eastAsia" w:ascii="宋体" w:hAnsi="宋体" w:eastAsia="宋体"/>
              </w:rPr>
              <w:t xml:space="preserve">注册资本</w:t>
            </w:r>
            <w:r/>
          </w:p>
        </w:tc>
        <w:tc>
          <w:tcPr>
            <w:gridSpan w:val="2"/>
            <w:tcW w:w="3292" w:type="dxa"/>
            <w:textDirection w:val="lrTb"/>
            <w:noWrap w:val="false"/>
          </w:tcPr>
          <w:p>
            <w:pPr>
              <w:pStyle w:val="661"/>
              <w:ind w:firstLine="240"/>
              <w:rPr>
                <w:rFonts w:hint="eastAsia" w:ascii="宋体" w:hAnsi="宋体" w:eastAsia="宋体"/>
              </w:rPr>
            </w:pPr>
            <w:r>
              <w:rPr>
                <w:rFonts w:hint="eastAsia" w:ascii="宋体" w:hAnsi="宋体" w:eastAsia="宋体"/>
              </w:rPr>
              <w:t xml:space="preserve">万元</w:t>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经营范围</w:t>
            </w:r>
            <w:r/>
          </w:p>
        </w:tc>
        <w:tc>
          <w:tcPr>
            <w:gridSpan w:val="4"/>
            <w:tcW w:w="6758"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职工人数</w:t>
            </w:r>
            <w:r/>
          </w:p>
        </w:tc>
        <w:tc>
          <w:tcPr>
            <w:tcW w:w="2005" w:type="dxa"/>
            <w:textDirection w:val="lrTb"/>
            <w:noWrap w:val="false"/>
          </w:tcPr>
          <w:p>
            <w:pPr>
              <w:pStyle w:val="661"/>
              <w:ind w:firstLine="240"/>
              <w:rPr>
                <w:rFonts w:hint="eastAsia" w:ascii="宋体" w:hAnsi="宋体" w:eastAsia="宋体"/>
              </w:rPr>
            </w:pPr>
            <w:r>
              <w:rPr>
                <w:rFonts w:hint="eastAsia" w:ascii="宋体" w:hAnsi="宋体" w:eastAsia="宋体"/>
              </w:rPr>
            </w:r>
            <w:r/>
          </w:p>
        </w:tc>
        <w:tc>
          <w:tcPr>
            <w:gridSpan w:val="2"/>
            <w:tcW w:w="3517" w:type="dxa"/>
            <w:textDirection w:val="lrTb"/>
            <w:noWrap w:val="false"/>
          </w:tcPr>
          <w:p>
            <w:pPr>
              <w:pStyle w:val="661"/>
              <w:ind w:firstLine="0"/>
              <w:rPr>
                <w:rFonts w:hint="eastAsia" w:ascii="宋体" w:hAnsi="宋体" w:eastAsia="宋体"/>
              </w:rPr>
            </w:pPr>
            <w:r>
              <w:rPr>
                <w:rFonts w:hint="eastAsia" w:ascii="宋体" w:hAnsi="宋体" w:eastAsia="宋体"/>
              </w:rPr>
              <w:t xml:space="preserve">其中：有中高级以上职称的人数</w:t>
            </w:r>
            <w:r/>
          </w:p>
        </w:tc>
        <w:tc>
          <w:tcPr>
            <w:tcW w:w="1236"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vAlign w:val="center"/>
            <w:textDirection w:val="lrTb"/>
            <w:noWrap w:val="false"/>
          </w:tcPr>
          <w:p>
            <w:pPr>
              <w:pStyle w:val="661"/>
              <w:ind w:firstLine="240"/>
              <w:jc w:val="both"/>
              <w:rPr>
                <w:rFonts w:hint="eastAsia" w:ascii="宋体" w:hAnsi="宋体" w:eastAsia="宋体"/>
              </w:rPr>
            </w:pPr>
            <w:r>
              <w:rPr>
                <w:rFonts w:hint="eastAsia" w:ascii="宋体" w:hAnsi="宋体" w:eastAsia="宋体"/>
              </w:rPr>
              <w:t xml:space="preserve">资产总计</w:t>
            </w:r>
            <w:r/>
          </w:p>
        </w:tc>
        <w:tc>
          <w:tcPr>
            <w:tcW w:w="2005" w:type="dxa"/>
            <w:vAlign w:val="center"/>
            <w:textDirection w:val="lrTb"/>
            <w:noWrap w:val="false"/>
          </w:tcPr>
          <w:p>
            <w:pPr>
              <w:pStyle w:val="661"/>
              <w:ind w:firstLine="240"/>
              <w:jc w:val="center"/>
              <w:rPr>
                <w:rFonts w:hint="eastAsia" w:ascii="宋体" w:hAnsi="宋体" w:eastAsia="宋体"/>
              </w:rPr>
            </w:pPr>
            <w:r>
              <w:rPr>
                <w:rFonts w:hint="eastAsia" w:ascii="宋体" w:hAnsi="宋体" w:eastAsia="宋体"/>
              </w:rPr>
              <w:t xml:space="preserve">万元</w:t>
            </w:r>
            <w:r/>
          </w:p>
        </w:tc>
        <w:tc>
          <w:tcPr>
            <w:tcW w:w="1461" w:type="dxa"/>
            <w:vAlign w:val="center"/>
            <w:textDirection w:val="lrTb"/>
            <w:noWrap w:val="false"/>
          </w:tcPr>
          <w:p>
            <w:pPr>
              <w:pStyle w:val="661"/>
              <w:ind w:firstLine="240"/>
              <w:jc w:val="both"/>
              <w:rPr>
                <w:rFonts w:hint="eastAsia" w:ascii="宋体" w:hAnsi="宋体" w:eastAsia="宋体"/>
              </w:rPr>
            </w:pPr>
            <w:r>
              <w:rPr>
                <w:rFonts w:hint="eastAsia" w:ascii="宋体" w:hAnsi="宋体" w:eastAsia="宋体"/>
              </w:rPr>
              <w:t xml:space="preserve">净资产</w:t>
            </w:r>
            <w:r/>
          </w:p>
        </w:tc>
        <w:tc>
          <w:tcPr>
            <w:gridSpan w:val="2"/>
            <w:tcW w:w="3292" w:type="dxa"/>
            <w:vAlign w:val="center"/>
            <w:textDirection w:val="lrTb"/>
            <w:noWrap w:val="false"/>
          </w:tcPr>
          <w:p>
            <w:pPr>
              <w:pStyle w:val="661"/>
              <w:ind w:firstLine="240"/>
              <w:jc w:val="center"/>
              <w:rPr>
                <w:rFonts w:hint="eastAsia" w:ascii="宋体" w:hAnsi="宋体" w:eastAsia="宋体"/>
              </w:rPr>
            </w:pPr>
            <w:r>
              <w:rPr>
                <w:rFonts w:hint="eastAsia" w:ascii="宋体" w:hAnsi="宋体" w:eastAsia="宋体"/>
              </w:rPr>
              <w:t xml:space="preserve">万元</w:t>
            </w:r>
            <w:r/>
          </w:p>
        </w:tc>
      </w:tr>
      <w:tr>
        <w:trPr>
          <w:cantSplit/>
        </w:trPr>
        <w:tc>
          <w:tcPr>
            <w:tcW w:w="2510" w:type="dxa"/>
            <w:vAlign w:val="center"/>
            <w:textDirection w:val="lrTb"/>
            <w:noWrap w:val="false"/>
          </w:tcPr>
          <w:p>
            <w:pPr>
              <w:pStyle w:val="661"/>
              <w:ind w:firstLine="240"/>
              <w:jc w:val="both"/>
              <w:rPr>
                <w:rFonts w:hint="eastAsia" w:ascii="宋体" w:hAnsi="宋体" w:eastAsia="宋体"/>
              </w:rPr>
            </w:pPr>
            <w:r>
              <w:rPr>
                <w:rFonts w:hint="eastAsia" w:ascii="宋体" w:hAnsi="宋体" w:eastAsia="宋体"/>
              </w:rPr>
              <w:t xml:space="preserve">股东权益</w:t>
            </w:r>
            <w:r/>
          </w:p>
        </w:tc>
        <w:tc>
          <w:tcPr>
            <w:tcW w:w="2005" w:type="dxa"/>
            <w:vAlign w:val="center"/>
            <w:textDirection w:val="lrTb"/>
            <w:noWrap w:val="false"/>
          </w:tcPr>
          <w:p>
            <w:pPr>
              <w:pStyle w:val="661"/>
              <w:ind w:firstLine="240"/>
              <w:jc w:val="center"/>
              <w:rPr>
                <w:rFonts w:hint="eastAsia" w:ascii="宋体" w:hAnsi="宋体" w:eastAsia="宋体"/>
              </w:rPr>
            </w:pPr>
            <w:r>
              <w:rPr>
                <w:rFonts w:hint="eastAsia" w:ascii="宋体" w:hAnsi="宋体" w:eastAsia="宋体"/>
              </w:rPr>
              <w:t xml:space="preserve">万元</w:t>
            </w:r>
            <w:r/>
          </w:p>
        </w:tc>
        <w:tc>
          <w:tcPr>
            <w:tcW w:w="1461" w:type="dxa"/>
            <w:vAlign w:val="center"/>
            <w:textDirection w:val="lrTb"/>
            <w:noWrap w:val="false"/>
          </w:tcPr>
          <w:p>
            <w:pPr>
              <w:pStyle w:val="661"/>
              <w:ind w:firstLine="240"/>
              <w:jc w:val="both"/>
              <w:rPr>
                <w:rFonts w:hint="eastAsia" w:ascii="宋体" w:hAnsi="宋体" w:eastAsia="宋体"/>
              </w:rPr>
            </w:pPr>
            <w:r>
              <w:rPr>
                <w:rFonts w:hint="eastAsia" w:ascii="宋体" w:hAnsi="宋体" w:eastAsia="宋体"/>
              </w:rPr>
              <w:t xml:space="preserve">销售收入</w:t>
            </w:r>
            <w:r/>
          </w:p>
        </w:tc>
        <w:tc>
          <w:tcPr>
            <w:gridSpan w:val="2"/>
            <w:tcW w:w="3292" w:type="dxa"/>
            <w:vAlign w:val="center"/>
            <w:textDirection w:val="lrTb"/>
            <w:noWrap w:val="false"/>
          </w:tcPr>
          <w:p>
            <w:pPr>
              <w:pStyle w:val="661"/>
              <w:ind w:firstLine="240"/>
              <w:jc w:val="center"/>
              <w:rPr>
                <w:rFonts w:hint="eastAsia" w:ascii="宋体" w:hAnsi="宋体" w:eastAsia="宋体"/>
              </w:rPr>
            </w:pPr>
            <w:r>
              <w:rPr>
                <w:rFonts w:hint="eastAsia" w:ascii="宋体" w:hAnsi="宋体" w:eastAsia="宋体"/>
              </w:rPr>
              <w:t xml:space="preserve">2025年万元</w:t>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实现利润</w:t>
            </w:r>
            <w:r/>
          </w:p>
        </w:tc>
        <w:tc>
          <w:tcPr>
            <w:tcW w:w="2005" w:type="dxa"/>
            <w:textDirection w:val="lrTb"/>
            <w:noWrap w:val="false"/>
          </w:tcPr>
          <w:p>
            <w:pPr>
              <w:pStyle w:val="661"/>
              <w:ind w:firstLine="240"/>
              <w:rPr>
                <w:rFonts w:hint="eastAsia" w:ascii="宋体" w:hAnsi="宋体" w:eastAsia="宋体"/>
              </w:rPr>
            </w:pPr>
            <w:r>
              <w:rPr>
                <w:rFonts w:hint="eastAsia" w:ascii="宋体" w:hAnsi="宋体" w:eastAsia="宋体"/>
              </w:rPr>
              <w:t xml:space="preserve">2025年万元</w:t>
            </w:r>
            <w:r/>
          </w:p>
        </w:tc>
        <w:tc>
          <w:tcPr>
            <w:tcW w:w="1461" w:type="dxa"/>
            <w:textDirection w:val="lrTb"/>
            <w:noWrap w:val="false"/>
          </w:tcPr>
          <w:p>
            <w:pPr>
              <w:pStyle w:val="661"/>
              <w:ind w:firstLine="240"/>
              <w:rPr>
                <w:rFonts w:hint="eastAsia" w:ascii="宋体" w:hAnsi="宋体" w:eastAsia="宋体"/>
              </w:rPr>
            </w:pPr>
            <w:r>
              <w:rPr>
                <w:rFonts w:hint="eastAsia" w:ascii="宋体" w:hAnsi="宋体" w:eastAsia="宋体"/>
              </w:rPr>
            </w:r>
            <w:r/>
          </w:p>
        </w:tc>
        <w:tc>
          <w:tcPr>
            <w:gridSpan w:val="2"/>
            <w:tcW w:w="3292"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营业面积（含厂房面积）</w:t>
            </w:r>
            <w:r/>
          </w:p>
        </w:tc>
        <w:tc>
          <w:tcPr>
            <w:tcW w:w="2005" w:type="dxa"/>
            <w:vAlign w:val="center"/>
            <w:textDirection w:val="lrTb"/>
            <w:noWrap w:val="false"/>
          </w:tcPr>
          <w:p>
            <w:pPr>
              <w:pStyle w:val="661"/>
              <w:ind w:firstLine="240"/>
              <w:jc w:val="both"/>
              <w:rPr>
                <w:rFonts w:hint="eastAsia" w:ascii="宋体" w:hAnsi="宋体" w:eastAsia="宋体"/>
              </w:rPr>
            </w:pPr>
            <w:r>
              <w:rPr>
                <w:rFonts w:hint="eastAsia" w:ascii="宋体" w:hAnsi="宋体" w:eastAsia="宋体"/>
              </w:rPr>
              <w:t xml:space="preserve">平方米</w:t>
            </w:r>
            <w:r/>
          </w:p>
        </w:tc>
        <w:tc>
          <w:tcPr>
            <w:tcW w:w="1461" w:type="dxa"/>
            <w:textDirection w:val="lrTb"/>
            <w:noWrap w:val="false"/>
          </w:tcPr>
          <w:p>
            <w:pPr>
              <w:pStyle w:val="661"/>
              <w:ind w:firstLine="240"/>
              <w:rPr>
                <w:rFonts w:hint="eastAsia" w:ascii="宋体" w:hAnsi="宋体" w:eastAsia="宋体"/>
              </w:rPr>
            </w:pPr>
            <w:r>
              <w:rPr>
                <w:rFonts w:hint="eastAsia" w:ascii="宋体" w:hAnsi="宋体" w:eastAsia="宋体"/>
              </w:rPr>
              <w:t xml:space="preserve">其中：</w:t>
            </w:r>
            <w:r/>
          </w:p>
        </w:tc>
        <w:tc>
          <w:tcPr>
            <w:gridSpan w:val="2"/>
            <w:tcW w:w="3292" w:type="dxa"/>
            <w:textDirection w:val="lrTb"/>
            <w:noWrap w:val="false"/>
          </w:tcPr>
          <w:p>
            <w:pPr>
              <w:pStyle w:val="661"/>
              <w:ind w:firstLine="240"/>
              <w:rPr>
                <w:rFonts w:hint="eastAsia" w:ascii="宋体" w:hAnsi="宋体" w:eastAsia="宋体"/>
              </w:rPr>
            </w:pPr>
            <w:r>
              <w:rPr>
                <w:rFonts w:hint="eastAsia" w:ascii="宋体" w:hAnsi="宋体" w:eastAsia="宋体"/>
              </w:rPr>
              <w:t xml:space="preserve">自有面积平方米</w:t>
            </w:r>
            <w:r/>
          </w:p>
          <w:p>
            <w:pPr>
              <w:pStyle w:val="661"/>
              <w:ind w:firstLine="240"/>
              <w:rPr>
                <w:rFonts w:hint="eastAsia" w:ascii="宋体" w:hAnsi="宋体" w:eastAsia="宋体"/>
              </w:rPr>
            </w:pPr>
            <w:r>
              <w:rPr>
                <w:rFonts w:hint="eastAsia" w:ascii="宋体" w:hAnsi="宋体" w:eastAsia="宋体"/>
              </w:rPr>
              <w:t xml:space="preserve">承租面积平方米</w:t>
            </w:r>
            <w:r/>
          </w:p>
        </w:tc>
      </w:tr>
      <w:tr>
        <w:trPr>
          <w:cantSplit/>
          <w:trHeight w:val="653"/>
        </w:trPr>
        <w:tc>
          <w:tcPr>
            <w:tcW w:w="2510" w:type="dxa"/>
            <w:textDirection w:val="lrTb"/>
            <w:noWrap w:val="false"/>
          </w:tcPr>
          <w:p>
            <w:pPr>
              <w:pStyle w:val="661"/>
              <w:ind w:firstLine="0"/>
              <w:rPr>
                <w:rFonts w:hint="eastAsia" w:ascii="宋体" w:hAnsi="宋体" w:eastAsia="宋体"/>
              </w:rPr>
            </w:pPr>
            <w:r>
              <w:rPr>
                <w:rFonts w:hint="eastAsia" w:ascii="宋体" w:hAnsi="宋体" w:eastAsia="宋体"/>
              </w:rPr>
              <w:t xml:space="preserve">单位简历及内设机构情况</w:t>
            </w:r>
            <w:r/>
          </w:p>
        </w:tc>
        <w:tc>
          <w:tcPr>
            <w:gridSpan w:val="4"/>
            <w:tcW w:w="6758"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661"/>
              <w:ind w:firstLine="0"/>
              <w:rPr>
                <w:rFonts w:hint="eastAsia" w:ascii="宋体" w:hAnsi="宋体" w:eastAsia="宋体"/>
              </w:rPr>
            </w:pPr>
            <w:r>
              <w:rPr>
                <w:rFonts w:hint="eastAsia" w:ascii="宋体" w:hAnsi="宋体" w:eastAsia="宋体"/>
              </w:rPr>
              <w:t xml:space="preserve">单位优势及特长</w:t>
            </w:r>
            <w:r/>
          </w:p>
        </w:tc>
        <w:tc>
          <w:tcPr>
            <w:gridSpan w:val="4"/>
            <w:tcW w:w="6758"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近三年来完成或正在履行的重大合同情况</w:t>
            </w:r>
            <w:r/>
          </w:p>
        </w:tc>
        <w:tc>
          <w:tcPr>
            <w:gridSpan w:val="4"/>
            <w:tcW w:w="6758"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最近</w:t>
            </w:r>
            <w:r>
              <w:rPr>
                <w:rFonts w:ascii="宋体" w:hAnsi="宋体" w:eastAsia="宋体"/>
              </w:rPr>
              <w:t xml:space="preserve">2</w:t>
            </w:r>
            <w:r>
              <w:rPr>
                <w:rFonts w:hint="eastAsia" w:ascii="宋体" w:hAnsi="宋体" w:eastAsia="宋体"/>
              </w:rPr>
              <w:t xml:space="preserve">年内在经营过程中受到何种奖励或处分（包括稽查情况和结果）</w:t>
            </w:r>
            <w:r/>
          </w:p>
        </w:tc>
        <w:tc>
          <w:tcPr>
            <w:gridSpan w:val="4"/>
            <w:tcW w:w="6758"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最近</w:t>
            </w:r>
            <w:r>
              <w:rPr>
                <w:rFonts w:ascii="宋体" w:hAnsi="宋体" w:eastAsia="宋体"/>
              </w:rPr>
              <w:t xml:space="preserve">3</w:t>
            </w:r>
            <w:r>
              <w:rPr>
                <w:rFonts w:hint="eastAsia" w:ascii="宋体" w:hAnsi="宋体" w:eastAsia="宋体"/>
              </w:rPr>
              <w:t xml:space="preserve">年内有无因售假、售劣或是其他原因被消费者投诉或起诉的情况及说明（包括解决方式和结果）</w:t>
            </w:r>
            <w:r/>
          </w:p>
        </w:tc>
        <w:tc>
          <w:tcPr>
            <w:gridSpan w:val="4"/>
            <w:tcW w:w="6758"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最近</w:t>
            </w:r>
            <w:r>
              <w:rPr>
                <w:rFonts w:ascii="宋体" w:hAnsi="宋体" w:eastAsia="宋体"/>
              </w:rPr>
              <w:t xml:space="preserve">3</w:t>
            </w:r>
            <w:r>
              <w:rPr>
                <w:rFonts w:hint="eastAsia" w:ascii="宋体" w:hAnsi="宋体" w:eastAsia="宋体"/>
              </w:rPr>
              <w:t xml:space="preserve">年内主要负责人有无因经济犯罪被司法机关追究的情况及说明</w:t>
            </w:r>
            <w:r/>
          </w:p>
        </w:tc>
        <w:tc>
          <w:tcPr>
            <w:gridSpan w:val="4"/>
            <w:tcW w:w="6758"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获得技术认证的工程师及简介</w:t>
            </w:r>
            <w:r/>
          </w:p>
        </w:tc>
        <w:tc>
          <w:tcPr>
            <w:gridSpan w:val="4"/>
            <w:tcW w:w="6758" w:type="dxa"/>
            <w:textDirection w:val="lrTb"/>
            <w:noWrap w:val="false"/>
          </w:tcPr>
          <w:p>
            <w:pPr>
              <w:pStyle w:val="661"/>
              <w:ind w:firstLine="240"/>
              <w:rPr>
                <w:rFonts w:hint="eastAsia" w:ascii="宋体" w:hAnsi="宋体" w:eastAsia="宋体"/>
              </w:rPr>
            </w:pPr>
            <w:r>
              <w:rPr>
                <w:rFonts w:hint="eastAsia" w:ascii="宋体" w:hAnsi="宋体" w:eastAsia="宋体"/>
              </w:rPr>
            </w:r>
            <w:r/>
          </w:p>
        </w:tc>
      </w:tr>
      <w:tr>
        <w:trPr>
          <w:cantSplit/>
          <w:trHeight w:val="560"/>
        </w:trPr>
        <w:tc>
          <w:tcPr>
            <w:tcW w:w="2510" w:type="dxa"/>
            <w:textDirection w:val="lrTb"/>
            <w:noWrap w:val="false"/>
          </w:tcPr>
          <w:p>
            <w:pPr>
              <w:pStyle w:val="661"/>
              <w:ind w:firstLine="240"/>
              <w:rPr>
                <w:rFonts w:hint="eastAsia" w:ascii="宋体" w:hAnsi="宋体" w:eastAsia="宋体"/>
              </w:rPr>
            </w:pPr>
            <w:r>
              <w:rPr>
                <w:rFonts w:hint="eastAsia" w:ascii="宋体" w:hAnsi="宋体" w:eastAsia="宋体"/>
              </w:rPr>
              <w:t xml:space="preserve">其他需要说明的情况</w:t>
            </w:r>
            <w:r/>
          </w:p>
        </w:tc>
        <w:tc>
          <w:tcPr>
            <w:gridSpan w:val="4"/>
            <w:tcW w:w="6758" w:type="dxa"/>
            <w:textDirection w:val="lrTb"/>
            <w:noWrap w:val="false"/>
          </w:tcPr>
          <w:p>
            <w:pPr>
              <w:pStyle w:val="661"/>
              <w:ind w:firstLine="240"/>
              <w:rPr>
                <w:rFonts w:hint="eastAsia" w:ascii="宋体" w:hAnsi="宋体" w:eastAsia="宋体"/>
              </w:rPr>
            </w:pPr>
            <w:r>
              <w:rPr>
                <w:rFonts w:hint="eastAsia" w:ascii="宋体" w:hAnsi="宋体" w:eastAsia="宋体"/>
              </w:rPr>
            </w:r>
            <w:r/>
          </w:p>
        </w:tc>
      </w:tr>
    </w:tbl>
    <w:p>
      <w:pPr>
        <w:pStyle w:val="661"/>
        <w:ind w:firstLine="240"/>
        <w:rPr>
          <w:rFonts w:hint="eastAsia" w:ascii="宋体" w:hAnsi="宋体" w:eastAsia="宋体"/>
        </w:rPr>
      </w:pPr>
      <w:r>
        <w:rPr>
          <w:rFonts w:hint="eastAsia" w:ascii="宋体" w:hAnsi="宋体" w:eastAsia="宋体"/>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jc w:val="left"/>
        <w:spacing w:line="360" w:lineRule="auto"/>
        <w:rPr>
          <w:rFonts w:hint="eastAsia" w:asciiTheme="minorEastAsia" w:hAnsiTheme="minorEastAsia" w:eastAsiaTheme="minorEastAsia"/>
          <w:sz w:val="24"/>
          <w:szCs w:val="24"/>
        </w:rPr>
      </w:pPr>
      <w:r>
        <w:rPr>
          <w:rFonts w:hint="eastAsia" w:hAnsi="宋体" w:eastAsia="宋体"/>
          <w:sz w:val="24"/>
        </w:rPr>
        <w:t xml:space="preserve">日期:</w:t>
      </w:r>
      <w:r>
        <w:rPr>
          <w:rFonts w:hint="eastAsia" w:asciiTheme="minorEastAsia" w:hAnsiTheme="minorEastAsia" w:eastAsiaTheme="minorEastAsia"/>
          <w:sz w:val="24"/>
          <w:szCs w:val="24"/>
        </w:rPr>
        <w:t xml:space="preserve"> 年　　月　　日</w:t>
      </w:r>
      <w:r/>
    </w:p>
    <w:p>
      <w:pPr>
        <w:ind w:firstLine="241"/>
        <w:widowControl/>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供应商与其他单位存在控股、管理关系情况表</w:t>
      </w:r>
      <w:r/>
    </w:p>
    <w:p>
      <w:pPr>
        <w:pStyle w:val="679"/>
        <w:jc w:val="center"/>
        <w:spacing w:line="400" w:lineRule="exact"/>
        <w:rPr>
          <w:rFonts w:hint="eastAsia"/>
          <w:bCs/>
        </w:rPr>
      </w:pPr>
      <w:r>
        <w:rPr>
          <w:rFonts w:hint="eastAsia"/>
          <w:bCs/>
          <w:lang w:val="zh-CN"/>
        </w:rPr>
        <w:t xml:space="preserve">供应商与其他单位存在控股、管理关系情况表</w:t>
      </w:r>
      <w:r/>
    </w:p>
    <w:tbl>
      <w:tblPr>
        <w:tblStyle w:val="65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0"/>
              <w:jc w:val="center"/>
              <w:spacing w:line="300" w:lineRule="auto"/>
              <w:rPr>
                <w:rFonts w:hint="eastAsia" w:ascii="宋体" w:hAnsi="宋体" w:eastAsia="宋体" w:cs="宋体"/>
                <w:bCs/>
              </w:rPr>
            </w:pPr>
            <w:r>
              <w:rPr>
                <w:rFonts w:hint="eastAsia" w:ascii="宋体" w:hAnsi="宋体" w:eastAsia="宋体" w:cs="宋体"/>
                <w:bCs/>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0"/>
              <w:jc w:val="center"/>
              <w:spacing w:line="300" w:lineRule="auto"/>
              <w:rPr>
                <w:rFonts w:hint="eastAsia" w:ascii="宋体" w:hAnsi="宋体" w:eastAsia="宋体" w:cs="宋体"/>
                <w:bCs/>
              </w:rPr>
            </w:pPr>
            <w:r>
              <w:rPr>
                <w:rFonts w:hint="eastAsia" w:ascii="宋体" w:hAnsi="宋体" w:eastAsia="宋体" w:cs="宋体"/>
                <w:bCs/>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261"/>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bl>
    <w:p>
      <w:pPr>
        <w:pStyle w:val="679"/>
        <w:ind w:firstLine="241"/>
        <w:spacing w:before="75" w:after="75" w:line="435" w:lineRule="atLeast"/>
        <w:rPr>
          <w:rFonts w:hint="eastAsia"/>
          <w:b/>
          <w:bCs/>
          <w:szCs w:val="21"/>
        </w:rPr>
      </w:pPr>
      <w:r>
        <w:rPr>
          <w:rFonts w:hint="eastAsia"/>
          <w:b/>
          <w:bCs/>
          <w:szCs w:val="21"/>
        </w:rPr>
        <w:t xml:space="preserve">注：响应单位应当按实填写所有与之有控股、管理关系的情况。</w:t>
      </w:r>
      <w:r/>
    </w:p>
    <w:p>
      <w:pPr>
        <w:ind w:firstLine="260"/>
        <w:rPr>
          <w:rFonts w:hint="eastAsia" w:ascii="宋体" w:hAnsi="宋体" w:eastAsia="宋体"/>
        </w:rPr>
      </w:pPr>
      <w:r>
        <w:rPr>
          <w:rFonts w:hint="eastAsia" w:ascii="宋体" w:hAnsi="宋体" w:eastAsia="宋体"/>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jc w:val="left"/>
        <w:spacing w:line="360" w:lineRule="auto"/>
        <w:rPr>
          <w:rFonts w:hint="eastAsia" w:asciiTheme="minorEastAsia" w:hAnsiTheme="minorEastAsia" w:eastAsiaTheme="minorEastAsia"/>
          <w:sz w:val="24"/>
          <w:szCs w:val="24"/>
        </w:rPr>
      </w:pPr>
      <w:r>
        <w:rPr>
          <w:rFonts w:hint="eastAsia" w:hAnsi="宋体" w:eastAsia="宋体"/>
          <w:sz w:val="24"/>
        </w:rPr>
        <w:t xml:space="preserve">日期:</w:t>
      </w:r>
      <w:r>
        <w:rPr>
          <w:rFonts w:hint="eastAsia" w:asciiTheme="minorEastAsia" w:hAnsiTheme="minorEastAsia" w:eastAsiaTheme="minorEastAsia"/>
          <w:sz w:val="24"/>
          <w:szCs w:val="24"/>
        </w:rPr>
        <w:t xml:space="preserve"> 年　　月　　日</w:t>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ind w:firstLine="260"/>
        <w:rPr>
          <w:rFonts w:hint="eastAsia" w:ascii="宋体" w:hAnsi="宋体" w:eastAsia="宋体"/>
        </w:rPr>
      </w:pPr>
      <w:r>
        <w:rPr>
          <w:rFonts w:hint="eastAsia" w:ascii="宋体" w:hAnsi="宋体" w:eastAsia="宋体"/>
        </w:rPr>
      </w:r>
      <w:r/>
    </w:p>
    <w:p>
      <w:pPr>
        <w:pStyle w:val="666"/>
        <w:ind w:left="520" w:firstLine="260"/>
        <w:rPr>
          <w:rFonts w:hint="eastAsia" w:ascii="宋体" w:hAnsi="宋体" w:eastAsia="宋体"/>
        </w:rPr>
      </w:pPr>
      <w:r>
        <w:rPr>
          <w:rFonts w:hint="eastAsia" w:ascii="宋体" w:hAnsi="宋体" w:eastAsia="宋体"/>
        </w:rPr>
      </w:r>
      <w:r/>
    </w:p>
    <w:p>
      <w:pPr>
        <w:pStyle w:val="691"/>
      </w:pPr>
      <w:r/>
      <w:r/>
    </w:p>
    <w:p>
      <w:pPr>
        <w:pStyle w:val="665"/>
        <w:ind w:firstLine="280"/>
        <w:rPr>
          <w:rFonts w:hint="eastAsia" w:ascii="宋体" w:hAnsi="宋体" w:eastAsia="宋体"/>
        </w:rPr>
      </w:pPr>
      <w:r>
        <w:rPr>
          <w:rFonts w:hint="eastAsia" w:ascii="宋体" w:hAnsi="宋体" w:eastAsia="宋体"/>
        </w:rPr>
      </w:r>
      <w:r/>
    </w:p>
    <w:p>
      <w:pPr>
        <w:pStyle w:val="665"/>
        <w:ind w:firstLine="280"/>
        <w:rPr>
          <w:rFonts w:hint="eastAsia" w:ascii="宋体" w:hAnsi="宋体" w:eastAsia="宋体"/>
        </w:rPr>
      </w:pPr>
      <w:r>
        <w:rPr>
          <w:rFonts w:hint="eastAsia" w:ascii="宋体" w:hAnsi="宋体" w:eastAsia="宋体"/>
        </w:rPr>
      </w:r>
      <w:r/>
    </w:p>
    <w:p>
      <w:pPr>
        <w:pStyle w:val="654"/>
        <w:ind w:firstLine="241"/>
        <w:spacing w:before="120" w:after="120" w:line="240" w:lineRule="auto"/>
        <w:rPr>
          <w:rFonts w:ascii="Times New Roman" w:hAnsi="Times New Roman" w:eastAsia="宋体"/>
          <w:sz w:val="24"/>
          <w:szCs w:val="24"/>
        </w:rPr>
      </w:pPr>
      <w:r>
        <w:rPr>
          <w:rFonts w:hint="eastAsia" w:ascii="宋体" w:hAnsi="宋体" w:eastAsia="宋体"/>
          <w:sz w:val="24"/>
          <w:szCs w:val="24"/>
        </w:rPr>
        <w:t xml:space="preserve">9、</w:t>
      </w:r>
      <w:r>
        <w:rPr>
          <w:rFonts w:hint="eastAsia" w:ascii="Times New Roman" w:hAnsi="Times New Roman" w:eastAsia="宋体"/>
          <w:sz w:val="24"/>
          <w:szCs w:val="24"/>
        </w:rPr>
        <w:t xml:space="preserve">中小企业声明函</w:t>
      </w:r>
      <w:r/>
    </w:p>
    <w:p>
      <w:pPr>
        <w:ind w:firstLine="482"/>
        <w:jc w:val="center"/>
        <w:spacing w:line="360" w:lineRule="auto"/>
        <w:rPr>
          <w:rFonts w:eastAsia="宋体"/>
          <w:b/>
          <w:bCs/>
          <w:sz w:val="24"/>
          <w:szCs w:val="24"/>
        </w:rPr>
      </w:pPr>
      <w:r>
        <w:rPr>
          <w:rFonts w:eastAsia="宋体"/>
          <w:b/>
          <w:bCs/>
          <w:sz w:val="24"/>
          <w:szCs w:val="24"/>
        </w:rPr>
        <w:t xml:space="preserve">中小企业声明函（工程、服务）</w:t>
      </w:r>
      <w:r/>
    </w:p>
    <w:p>
      <w:pPr>
        <w:ind w:firstLine="480"/>
        <w:spacing w:line="360" w:lineRule="auto"/>
        <w:rPr>
          <w:rFonts w:eastAsia="宋体"/>
          <w:bCs/>
          <w:sz w:val="24"/>
          <w:szCs w:val="24"/>
        </w:rPr>
      </w:pPr>
      <w:r>
        <w:rPr>
          <w:rFonts w:eastAsia="宋体"/>
          <w:bCs/>
          <w:sz w:val="24"/>
          <w:szCs w:val="24"/>
        </w:rPr>
        <w:t xml:space="preserve">本公司（联合体）郑重声明，根据《政府采购促进中小企业发展管理办法》（财库﹝2020﹞46 号）的规定，本公司（联合体）参加</w:t>
      </w:r>
      <w:r>
        <w:rPr>
          <w:rFonts w:eastAsia="宋体"/>
          <w:bCs/>
          <w:sz w:val="24"/>
          <w:szCs w:val="24"/>
          <w:u w:val="single"/>
        </w:rPr>
        <w:t xml:space="preserve">（单位名称）</w:t>
      </w:r>
      <w:r>
        <w:rPr>
          <w:rFonts w:eastAsia="宋体"/>
          <w:bCs/>
          <w:sz w:val="24"/>
          <w:szCs w:val="24"/>
        </w:rPr>
        <w:t xml:space="preserve">的</w:t>
      </w:r>
      <w:r>
        <w:rPr>
          <w:rFonts w:eastAsia="宋体"/>
          <w:bCs/>
          <w:sz w:val="24"/>
          <w:szCs w:val="24"/>
          <w:u w:val="single"/>
        </w:rPr>
        <w:t xml:space="preserve">（项目名称）</w:t>
      </w:r>
      <w:r>
        <w:rPr>
          <w:rFonts w:eastAsia="宋体"/>
          <w:bCs/>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eastAsia="宋体"/>
          <w:bCs/>
          <w:sz w:val="24"/>
          <w:szCs w:val="24"/>
        </w:rPr>
      </w:pPr>
      <w:r>
        <w:rPr>
          <w:rFonts w:eastAsia="宋体"/>
          <w:bCs/>
          <w:sz w:val="24"/>
          <w:szCs w:val="24"/>
        </w:rPr>
        <w:t xml:space="preserve"> 1. </w:t>
      </w:r>
      <w:r>
        <w:rPr>
          <w:rFonts w:eastAsia="宋体"/>
          <w:bCs/>
          <w:sz w:val="24"/>
          <w:szCs w:val="24"/>
          <w:u w:val="single"/>
        </w:rPr>
        <w:t xml:space="preserve">（</w:t>
      </w:r>
      <w:r>
        <w:rPr>
          <w:rFonts w:hint="eastAsia" w:eastAsia="宋体"/>
          <w:bCs/>
          <w:sz w:val="24"/>
          <w:szCs w:val="24"/>
          <w:u w:val="single"/>
        </w:rPr>
        <w:t xml:space="preserve">项目</w:t>
      </w:r>
      <w:r>
        <w:rPr>
          <w:rFonts w:eastAsia="宋体"/>
          <w:bCs/>
          <w:sz w:val="24"/>
          <w:szCs w:val="24"/>
          <w:u w:val="single"/>
        </w:rPr>
        <w:t xml:space="preserve">名称）</w:t>
      </w:r>
      <w:r>
        <w:rPr>
          <w:rFonts w:eastAsia="宋体"/>
          <w:bCs/>
          <w:sz w:val="24"/>
          <w:szCs w:val="24"/>
        </w:rPr>
        <w:t xml:space="preserve">，属于</w:t>
      </w:r>
      <w:r>
        <w:rPr>
          <w:rFonts w:hint="eastAsia" w:ascii="宋体" w:hAnsi="宋体" w:eastAsia="宋体"/>
          <w:sz w:val="24"/>
          <w:u w:val="single"/>
        </w:rPr>
        <w:t xml:space="preserve">其他未列明行业</w:t>
      </w:r>
      <w:r>
        <w:rPr>
          <w:rFonts w:eastAsia="宋体"/>
          <w:bCs/>
          <w:sz w:val="24"/>
          <w:szCs w:val="24"/>
        </w:rPr>
        <w:t xml:space="preserve">；承建（承接）企业为</w:t>
      </w:r>
      <w:r>
        <w:rPr>
          <w:rFonts w:eastAsia="宋体"/>
          <w:bCs/>
          <w:sz w:val="24"/>
          <w:szCs w:val="24"/>
          <w:u w:val="single"/>
        </w:rPr>
        <w:t xml:space="preserve">（企业名称）</w:t>
      </w:r>
      <w:r>
        <w:rPr>
          <w:rFonts w:eastAsia="宋体"/>
          <w:bCs/>
          <w:sz w:val="24"/>
          <w:szCs w:val="24"/>
        </w:rPr>
        <w:t xml:space="preserve">，从业人员人，营业收入为万元，资产总额为万元，属于</w:t>
      </w:r>
      <w:r>
        <w:rPr>
          <w:rFonts w:eastAsia="宋体"/>
          <w:bCs/>
          <w:sz w:val="24"/>
          <w:szCs w:val="24"/>
          <w:u w:val="single"/>
        </w:rPr>
        <w:t xml:space="preserve">（中型企业、小型企业、微型企业）</w:t>
      </w:r>
      <w:r>
        <w:rPr>
          <w:rFonts w:eastAsia="宋体"/>
          <w:bCs/>
          <w:sz w:val="24"/>
          <w:szCs w:val="24"/>
        </w:rPr>
        <w:t xml:space="preserve">；</w:t>
      </w:r>
      <w:r/>
    </w:p>
    <w:p>
      <w:pPr>
        <w:ind w:firstLine="480"/>
        <w:spacing w:line="360" w:lineRule="auto"/>
        <w:rPr>
          <w:rFonts w:eastAsia="宋体"/>
          <w:bCs/>
          <w:sz w:val="24"/>
          <w:szCs w:val="24"/>
        </w:rPr>
      </w:pPr>
      <w:r>
        <w:rPr>
          <w:rFonts w:eastAsia="宋体"/>
          <w:bCs/>
          <w:sz w:val="24"/>
          <w:szCs w:val="24"/>
        </w:rPr>
      </w:r>
      <w:r/>
    </w:p>
    <w:p>
      <w:pPr>
        <w:ind w:firstLine="480"/>
        <w:spacing w:line="360" w:lineRule="auto"/>
        <w:rPr>
          <w:rFonts w:eastAsia="宋体"/>
          <w:bCs/>
          <w:sz w:val="24"/>
          <w:szCs w:val="24"/>
        </w:rPr>
      </w:pPr>
      <w:r>
        <w:rPr>
          <w:rFonts w:eastAsia="宋体"/>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eastAsia="宋体"/>
          <w:bCs/>
          <w:sz w:val="24"/>
          <w:szCs w:val="24"/>
        </w:rPr>
      </w:pPr>
      <w:r>
        <w:rPr>
          <w:rFonts w:eastAsia="宋体"/>
          <w:bCs/>
          <w:sz w:val="24"/>
          <w:szCs w:val="24"/>
        </w:rPr>
        <w:t xml:space="preserve">本企业对上述声明内容的真实性负责。如有虚假，将依法承担相应责任。</w:t>
      </w:r>
      <w:r/>
    </w:p>
    <w:p>
      <w:pPr>
        <w:ind w:right="480" w:firstLine="5880"/>
        <w:spacing w:line="360" w:lineRule="auto"/>
        <w:rPr>
          <w:rFonts w:eastAsia="宋体"/>
          <w:bCs/>
          <w:sz w:val="24"/>
          <w:szCs w:val="24"/>
        </w:rPr>
      </w:pPr>
      <w:r>
        <w:rPr>
          <w:rFonts w:eastAsia="宋体"/>
          <w:bCs/>
          <w:sz w:val="24"/>
          <w:szCs w:val="24"/>
        </w:rPr>
        <w:t xml:space="preserve">企业名称（盖章）：</w:t>
      </w:r>
      <w:r/>
    </w:p>
    <w:p>
      <w:pPr>
        <w:ind w:right="480" w:firstLine="7200"/>
        <w:spacing w:line="360" w:lineRule="auto"/>
        <w:rPr>
          <w:rFonts w:eastAsia="宋体"/>
          <w:bCs/>
          <w:sz w:val="24"/>
          <w:szCs w:val="24"/>
        </w:rPr>
      </w:pPr>
      <w:r>
        <w:rPr>
          <w:rFonts w:eastAsia="宋体"/>
          <w:bCs/>
          <w:sz w:val="24"/>
          <w:szCs w:val="24"/>
        </w:rPr>
        <w:t xml:space="preserve">日期：</w:t>
      </w:r>
      <w:r/>
    </w:p>
    <w:p>
      <w:pPr>
        <w:ind w:firstLine="482"/>
        <w:jc w:val="left"/>
        <w:spacing w:line="360" w:lineRule="auto"/>
        <w:widowControl/>
        <w:rPr>
          <w:rFonts w:eastAsia="宋体"/>
          <w:b/>
          <w:bCs/>
          <w:sz w:val="24"/>
          <w:szCs w:val="24"/>
        </w:rPr>
      </w:pPr>
      <w:r>
        <w:rPr>
          <w:rFonts w:eastAsia="宋体"/>
          <w:b/>
          <w:bCs/>
          <w:sz w:val="24"/>
          <w:szCs w:val="24"/>
        </w:rPr>
        <w:t xml:space="preserve">注：</w:t>
      </w:r>
      <w:r/>
    </w:p>
    <w:p>
      <w:pPr>
        <w:ind w:firstLine="482"/>
        <w:rPr>
          <w:rFonts w:hint="eastAsia" w:ascii="宋体" w:hAnsi="宋体" w:eastAsia="宋体" w:cs="宋体"/>
          <w:b/>
          <w:sz w:val="24"/>
          <w:szCs w:val="24"/>
          <w:u w:val="single"/>
        </w:rPr>
      </w:pPr>
      <w:r>
        <w:rPr>
          <w:rFonts w:hint="eastAsia" w:ascii="宋体" w:hAnsi="宋体" w:eastAsia="宋体" w:cs="宋体"/>
          <w:b/>
          <w:sz w:val="24"/>
          <w:szCs w:val="24"/>
          <w:u w:val="single"/>
        </w:rPr>
        <w:t xml:space="preserve">1、提供的中小企业声明函须有公章的彩色扫描件上传至电子投标文件中（如属于）。否则不可享受相应扶持政策。</w:t>
      </w:r>
      <w:r/>
    </w:p>
    <w:p>
      <w:pPr>
        <w:ind w:firstLine="482"/>
        <w:rPr>
          <w:rFonts w:hint="eastAsia" w:ascii="宋体" w:hAnsi="宋体" w:eastAsia="宋体" w:cs="宋体"/>
          <w:b/>
          <w:sz w:val="24"/>
          <w:szCs w:val="24"/>
        </w:rPr>
      </w:pPr>
      <w:r>
        <w:rPr>
          <w:rFonts w:hint="eastAsia" w:ascii="宋体" w:hAnsi="宋体" w:eastAsia="宋体" w:cs="宋体"/>
          <w:b/>
          <w:sz w:val="24"/>
          <w:szCs w:val="24"/>
        </w:rPr>
        <w:t xml:space="preserve">2、如供应商认定本企业为小型或微型企业，则需根据“工信部联企业〔2011〕300号”通知中的《中小企业划型标准规定》填报“中小企业声明函”。</w:t>
      </w:r>
      <w:r/>
    </w:p>
    <w:p>
      <w:pPr>
        <w:ind w:firstLine="482"/>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3、从业人员、营业收入、资产总额填报上一年度数据，无上一年度数据的新成立企业可不填报。</w:t>
      </w:r>
      <w:r/>
    </w:p>
    <w:p>
      <w:pPr>
        <w:ind w:firstLine="482"/>
        <w:rPr>
          <w:rFonts w:hint="eastAsia" w:ascii="宋体" w:hAnsi="宋体" w:eastAsia="宋体" w:cs="宋体"/>
          <w:b/>
          <w:sz w:val="24"/>
          <w:szCs w:val="24"/>
        </w:rPr>
      </w:pPr>
      <w:r>
        <w:rPr>
          <w:rFonts w:hint="eastAsia" w:ascii="宋体" w:hAnsi="宋体" w:eastAsia="宋体" w:cs="宋体"/>
          <w:b/>
          <w:sz w:val="24"/>
          <w:szCs w:val="24"/>
        </w:rPr>
        <w:t xml:space="preserve">4、中小企业划分标准详见“工信部联企业〔2011〕300号通知中的《中小企业划型标准规定》”。</w:t>
      </w:r>
      <w:r/>
    </w:p>
    <w:p>
      <w:pPr>
        <w:pStyle w:val="693"/>
        <w:ind w:firstLine="482"/>
        <w:rPr>
          <w:rFonts w:hint="eastAsia" w:hAnsi="宋体" w:cs="宋体"/>
          <w:b/>
          <w:sz w:val="24"/>
          <w:szCs w:val="24"/>
        </w:rPr>
      </w:pPr>
      <w:r>
        <w:rPr>
          <w:rFonts w:hint="eastAsia" w:hAnsi="宋体" w:cs="宋体"/>
          <w:b/>
          <w:sz w:val="24"/>
          <w:szCs w:val="24"/>
        </w:rPr>
        <w:t xml:space="preserve">5、《中小企业声明函》中所填的行业应与本采购标的对应的中小企业划分标准所属行业一致，不一致的不可享受相应政策优惠。</w:t>
      </w:r>
      <w:r/>
    </w:p>
    <w:p>
      <w:pPr>
        <w:ind w:firstLine="482"/>
        <w:rPr>
          <w:rFonts w:hint="eastAsia" w:ascii="宋体" w:hAnsi="宋体" w:eastAsia="宋体" w:cs="宋体"/>
          <w:b/>
          <w:sz w:val="24"/>
          <w:szCs w:val="24"/>
        </w:rPr>
      </w:pPr>
      <w:r>
        <w:rPr>
          <w:rFonts w:hint="eastAsia" w:ascii="宋体" w:hAnsi="宋体" w:eastAsia="宋体" w:cs="宋体"/>
          <w:b/>
          <w:sz w:val="24"/>
          <w:szCs w:val="24"/>
        </w:rPr>
        <w:t xml:space="preserve">6、如未对（中型企业、小型企业、微型企业）进行勾选，视同非小微企业，不可享受相应扶持政策。</w:t>
      </w:r>
      <w:r/>
    </w:p>
    <w:p>
      <w:pPr>
        <w:ind w:firstLine="482"/>
        <w:jc w:val="left"/>
        <w:rPr>
          <w:rFonts w:hint="eastAsia" w:ascii="宋体" w:hAnsi="宋体" w:eastAsia="宋体" w:cs="宋体"/>
          <w:b/>
          <w:sz w:val="24"/>
          <w:szCs w:val="24"/>
        </w:rPr>
      </w:pPr>
      <w:r>
        <w:rPr>
          <w:rFonts w:hint="eastAsia" w:ascii="宋体" w:hAnsi="宋体" w:eastAsia="宋体" w:cs="宋体"/>
          <w:b/>
          <w:sz w:val="24"/>
          <w:szCs w:val="24"/>
        </w:rPr>
        <w:t xml:space="preserve">7、成交单位为中小微企业的，《中小企业声明函》将随成交结果同时公告。</w:t>
      </w:r>
      <w:r/>
    </w:p>
    <w:p>
      <w:pPr>
        <w:pStyle w:val="693"/>
        <w:ind w:firstLine="482"/>
        <w:rPr>
          <w:rFonts w:hint="eastAsia" w:hAnsi="宋体" w:cs="宋体"/>
          <w:b/>
          <w:sz w:val="24"/>
          <w:szCs w:val="24"/>
        </w:rPr>
      </w:pPr>
      <w:r>
        <w:rPr>
          <w:rFonts w:hint="eastAsia" w:hAnsi="宋体" w:cs="宋体"/>
          <w:b/>
          <w:sz w:val="24"/>
          <w:szCs w:val="24"/>
        </w:rPr>
        <w:t xml:space="preserve">8、未尽事宜按照《苏州市政府采购促进中小企业发展实施意见》执行。</w:t>
      </w:r>
      <w:r/>
    </w:p>
    <w:p>
      <w:pPr>
        <w:ind w:firstLine="482"/>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9、若供应商提供的“中小企业声明函”内容不实的，属于提供虚假材料谋取中标、成交，依照《中华人民共和国政府采购法》等国家有关规定追究相应责任。</w:t>
      </w:r>
      <w:r/>
    </w:p>
    <w:p>
      <w:pPr>
        <w:ind w:firstLine="482"/>
        <w:jc w:val="left"/>
        <w:spacing w:line="360" w:lineRule="auto"/>
        <w:widowControl/>
        <w:rPr>
          <w:rFonts w:hint="eastAsia" w:ascii="宋体" w:hAnsi="宋体" w:eastAsia="宋体"/>
          <w:b/>
          <w:sz w:val="24"/>
          <w:szCs w:val="24"/>
          <w:u w:val="single"/>
        </w:rPr>
      </w:pPr>
      <w:r>
        <w:rPr>
          <w:rFonts w:hint="eastAsia" w:ascii="宋体" w:hAnsi="宋体" w:eastAsia="宋体"/>
          <w:b/>
          <w:sz w:val="24"/>
          <w:szCs w:val="24"/>
          <w:u w:val="single"/>
        </w:rPr>
      </w:r>
      <w:r/>
    </w:p>
    <w:p>
      <w:pPr>
        <w:pStyle w:val="693"/>
        <w:ind w:firstLine="42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0"/>
      </w:pPr>
      <w:r/>
      <w:r/>
    </w:p>
    <w:p>
      <w:pPr>
        <w:ind w:firstLine="261"/>
        <w:widowControl/>
        <w:rPr>
          <w:rFonts w:hint="eastAsia" w:ascii="宋体" w:hAnsi="宋体" w:eastAsia="宋体"/>
          <w:b/>
        </w:rPr>
      </w:pPr>
      <w:r>
        <w:rPr>
          <w:rFonts w:hint="eastAsia" w:ascii="宋体" w:hAnsi="宋体" w:eastAsia="宋体"/>
          <w:b/>
        </w:rPr>
        <w:t xml:space="preserve">10、残疾人福利性单位声明函</w:t>
      </w:r>
      <w:r/>
    </w:p>
    <w:p>
      <w:pPr>
        <w:ind w:firstLine="260"/>
        <w:widowControl/>
        <w:rPr>
          <w:rFonts w:hint="eastAsia" w:ascii="宋体" w:hAnsi="宋体" w:eastAsia="宋体"/>
        </w:rPr>
      </w:pPr>
      <w:r>
        <w:rPr>
          <w:rFonts w:hint="eastAsia" w:ascii="宋体" w:hAnsi="宋体" w:eastAsia="宋体"/>
        </w:rPr>
      </w:r>
      <w:r/>
    </w:p>
    <w:p>
      <w:pPr>
        <w:ind w:firstLine="261"/>
        <w:jc w:val="center"/>
        <w:widowControl/>
        <w:rPr>
          <w:rFonts w:hint="eastAsia" w:ascii="宋体" w:hAnsi="宋体" w:eastAsia="宋体"/>
          <w:b/>
        </w:rPr>
      </w:pPr>
      <w:r>
        <w:rPr>
          <w:rFonts w:hint="eastAsia" w:ascii="宋体" w:hAnsi="宋体" w:eastAsia="宋体"/>
          <w:b/>
        </w:rPr>
        <w:t xml:space="preserve">残疾人福利性单位声明函</w:t>
      </w:r>
      <w:r/>
    </w:p>
    <w:p>
      <w:pPr>
        <w:ind w:firstLine="260"/>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t xml:space="preserve">本单位郑重声明，根据《财政部民政部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t xml:space="preserve">本单位对上述声明的真实性负责。如有虚假，将依法承担相应责任。</w:t>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right="480" w:firstLine="5880"/>
        <w:spacing w:line="360" w:lineRule="auto"/>
        <w:rPr>
          <w:rFonts w:eastAsia="宋体"/>
          <w:bCs/>
          <w:sz w:val="24"/>
          <w:szCs w:val="24"/>
        </w:rPr>
      </w:pPr>
      <w:r>
        <w:rPr>
          <w:rFonts w:eastAsia="宋体"/>
          <w:bCs/>
          <w:sz w:val="24"/>
          <w:szCs w:val="24"/>
        </w:rPr>
        <w:t xml:space="preserve">企业名称（盖章）：</w:t>
      </w:r>
      <w:r/>
    </w:p>
    <w:p>
      <w:pPr>
        <w:ind w:right="480" w:firstLine="7200"/>
        <w:spacing w:line="360" w:lineRule="auto"/>
        <w:rPr>
          <w:rFonts w:eastAsia="宋体"/>
          <w:bCs/>
          <w:sz w:val="24"/>
          <w:szCs w:val="24"/>
        </w:rPr>
      </w:pPr>
      <w:r>
        <w:rPr>
          <w:rFonts w:eastAsia="宋体"/>
          <w:bCs/>
          <w:sz w:val="24"/>
          <w:szCs w:val="24"/>
        </w:rPr>
        <w:t xml:space="preserve">日期：</w:t>
      </w:r>
      <w:r/>
    </w:p>
    <w:p>
      <w:pPr>
        <w:ind w:firstLine="260"/>
        <w:spacing w:line="400" w:lineRule="exact"/>
        <w:widowControl/>
        <w:rPr>
          <w:rFonts w:hint="eastAsia" w:ascii="宋体" w:hAnsi="宋体" w:eastAsia="宋体"/>
        </w:rPr>
      </w:pPr>
      <w:r>
        <w:rPr>
          <w:rFonts w:hint="eastAsia" w:ascii="宋体" w:hAnsi="宋体" w:eastAsia="宋体"/>
        </w:rPr>
      </w:r>
      <w:r/>
    </w:p>
    <w:p>
      <w:pPr>
        <w:ind w:firstLine="241"/>
        <w:jc w:val="left"/>
        <w:widowControl/>
        <w:rPr>
          <w:rFonts w:hint="eastAsia" w:ascii="宋体" w:hAnsi="宋体" w:eastAsia="宋体"/>
          <w:b/>
          <w:sz w:val="24"/>
          <w:szCs w:val="24"/>
          <w:u w:val="single"/>
        </w:rPr>
      </w:pPr>
      <w:r>
        <w:rPr>
          <w:rFonts w:hint="eastAsia" w:ascii="宋体" w:hAnsi="宋体" w:eastAsia="宋体"/>
          <w:b/>
          <w:sz w:val="24"/>
          <w:szCs w:val="24"/>
          <w:u w:val="single"/>
        </w:rPr>
        <w:t xml:space="preserve">注：提供的</w:t>
      </w:r>
      <w:r>
        <w:rPr>
          <w:rFonts w:hint="eastAsia" w:ascii="宋体" w:hAnsi="宋体" w:eastAsia="宋体"/>
          <w:b/>
          <w:u w:val="single"/>
        </w:rPr>
        <w:t xml:space="preserve">残疾人福利性单位声明函</w:t>
      </w:r>
      <w:r>
        <w:rPr>
          <w:rFonts w:hint="eastAsia" w:ascii="宋体" w:hAnsi="宋体" w:eastAsia="宋体"/>
          <w:b/>
          <w:sz w:val="24"/>
          <w:szCs w:val="24"/>
          <w:u w:val="single"/>
        </w:rPr>
        <w:t xml:space="preserve">须有公章的彩色扫描件上传</w:t>
      </w:r>
      <w:r>
        <w:rPr>
          <w:rFonts w:ascii="宋体" w:hAnsi="宋体" w:eastAsia="宋体"/>
          <w:b/>
          <w:sz w:val="24"/>
          <w:szCs w:val="24"/>
          <w:u w:val="single"/>
        </w:rPr>
        <w:t xml:space="preserve">至电子投标文件中</w:t>
      </w:r>
      <w:r>
        <w:rPr>
          <w:rFonts w:hint="eastAsia" w:ascii="宋体" w:hAnsi="宋体" w:eastAsia="宋体"/>
          <w:b/>
          <w:sz w:val="24"/>
          <w:szCs w:val="24"/>
          <w:u w:val="single"/>
        </w:rPr>
        <w:t xml:space="preserve">（如属于）。</w:t>
      </w:r>
      <w:r>
        <w:rPr>
          <w:rFonts w:hint="eastAsia" w:ascii="宋体" w:hAnsi="宋体" w:eastAsia="宋体" w:cs="宋体"/>
          <w:b/>
          <w:sz w:val="24"/>
          <w:szCs w:val="24"/>
          <w:u w:val="single"/>
        </w:rPr>
        <w:t xml:space="preserve">否则不可享受相应扶持政策。</w:t>
      </w:r>
      <w:r/>
    </w:p>
    <w:p>
      <w:pPr>
        <w:ind w:firstLine="964"/>
        <w:jc w:val="left"/>
        <w:spacing w:line="360" w:lineRule="auto"/>
        <w:widowControl/>
        <w:rPr>
          <w:rFonts w:hint="eastAsia" w:ascii="宋体" w:hAnsi="宋体" w:eastAsia="宋体"/>
          <w:b/>
          <w:sz w:val="24"/>
          <w:szCs w:val="24"/>
          <w:u w:val="single"/>
        </w:rPr>
      </w:pPr>
      <w:r>
        <w:rPr>
          <w:rFonts w:hint="eastAsia" w:ascii="宋体" w:hAnsi="宋体" w:eastAsia="宋体"/>
          <w:b/>
          <w:sz w:val="24"/>
          <w:szCs w:val="24"/>
          <w:u w:val="single"/>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ind w:firstLine="260"/>
        <w:spacing w:line="400" w:lineRule="exact"/>
        <w:widowControl/>
        <w:rPr>
          <w:rFonts w:hint="eastAsia" w:ascii="宋体" w:hAnsi="宋体" w:eastAsia="宋体"/>
        </w:rPr>
      </w:pPr>
      <w:r>
        <w:rPr>
          <w:rFonts w:hint="eastAsia" w:ascii="宋体" w:hAnsi="宋体" w:eastAsia="宋体"/>
        </w:rPr>
      </w:r>
      <w:r/>
    </w:p>
    <w:p>
      <w:pPr>
        <w:pStyle w:val="653"/>
        <w:numPr>
          <w:ilvl w:val="0"/>
          <w:numId w:val="3"/>
        </w:numPr>
        <w:ind w:firstLine="522"/>
        <w:jc w:val="center"/>
        <w:rPr>
          <w:rFonts w:hint="eastAsia" w:ascii="宋体" w:hAnsi="宋体" w:eastAsia="宋体"/>
        </w:rPr>
      </w:pPr>
      <w:r/>
      <w:bookmarkStart w:id="41" w:name="_Toc12642"/>
      <w:r>
        <w:rPr>
          <w:rFonts w:hint="eastAsia" w:ascii="宋体" w:hAnsi="宋体" w:eastAsia="宋体"/>
        </w:rPr>
        <w:t xml:space="preserve">采购内容</w:t>
      </w:r>
      <w:bookmarkEnd w:id="41"/>
      <w:r/>
      <w:r/>
    </w:p>
    <w:p>
      <w:pPr>
        <w:ind w:firstLine="480"/>
        <w:spacing w:line="360" w:lineRule="auto"/>
        <w:rPr>
          <w:rFonts w:hint="eastAsia" w:asciiTheme="minorEastAsia" w:hAnsiTheme="minorEastAsia" w:eastAsiaTheme="minorEastAsia"/>
          <w:sz w:val="24"/>
          <w:szCs w:val="24"/>
        </w:rPr>
      </w:pPr>
      <w:r/>
      <w:bookmarkStart w:id="42" w:name="_Toc291668811"/>
      <w:r>
        <w:rPr>
          <w:rFonts w:hint="eastAsia" w:cs="宋体" w:asciiTheme="minorEastAsia" w:hAnsiTheme="minorEastAsia" w:eastAsiaTheme="minorEastAsia"/>
          <w:sz w:val="24"/>
          <w:szCs w:val="24"/>
        </w:rPr>
        <w:t xml:space="preserve">苏州星创招投标咨询有限公司受</w:t>
      </w:r>
      <w:r>
        <w:rPr>
          <w:rFonts w:hint="eastAsia" w:cs="宋体" w:asciiTheme="minorEastAsia" w:hAnsiTheme="minorEastAsia" w:eastAsiaTheme="minorEastAsia"/>
          <w:sz w:val="24"/>
          <w:szCs w:val="24"/>
          <w:u w:val="single"/>
        </w:rPr>
        <w:t xml:space="preserve">苏州图书馆</w:t>
      </w:r>
      <w:r>
        <w:rPr>
          <w:rFonts w:hint="eastAsia" w:cs="宋体" w:asciiTheme="minorEastAsia" w:hAnsiTheme="minorEastAsia" w:eastAsiaTheme="minorEastAsia"/>
          <w:sz w:val="24"/>
          <w:szCs w:val="24"/>
        </w:rPr>
        <w:t xml:space="preserve">的委托，就其所需的</w:t>
      </w:r>
      <w:r>
        <w:rPr>
          <w:rFonts w:hint="eastAsia" w:cs="宋体" w:asciiTheme="minorEastAsia" w:hAnsiTheme="minorEastAsia" w:eastAsiaTheme="minorEastAsia"/>
          <w:sz w:val="24"/>
          <w:szCs w:val="24"/>
          <w:u w:val="single"/>
        </w:rPr>
        <w:t xml:space="preserve">苏州图书馆（人民路馆、北馆）10kv变电所智能运维管理项目</w:t>
      </w:r>
      <w:r>
        <w:rPr>
          <w:rFonts w:hint="eastAsia" w:asciiTheme="minorEastAsia" w:hAnsiTheme="minorEastAsia" w:eastAsiaTheme="minorEastAsia"/>
          <w:sz w:val="24"/>
          <w:szCs w:val="24"/>
        </w:rPr>
        <w:t xml:space="preserve">采用竞争性磋商方式进行采购，欢迎有资格的磋商供应商前来参加本次磋商采购。</w:t>
      </w:r>
      <w:r/>
    </w:p>
    <w:p>
      <w:pPr>
        <w:numPr>
          <w:ilvl w:val="0"/>
          <w:numId w:val="4"/>
        </w:numPr>
        <w:ind w:firstLine="241"/>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采购</w:t>
      </w:r>
      <w:r>
        <w:rPr>
          <w:rFonts w:asciiTheme="minorEastAsia" w:hAnsiTheme="minorEastAsia" w:eastAsiaTheme="minorEastAsia"/>
          <w:b/>
          <w:sz w:val="24"/>
          <w:szCs w:val="24"/>
        </w:rPr>
        <w:t xml:space="preserve">编号：</w:t>
      </w:r>
      <w:r>
        <w:rPr>
          <w:rFonts w:hint="eastAsia" w:asciiTheme="minorEastAsia" w:hAnsiTheme="minorEastAsia" w:eastAsiaTheme="minorEastAsia"/>
          <w:sz w:val="24"/>
          <w:szCs w:val="24"/>
        </w:rPr>
        <w:t xml:space="preserve">JSZC-320500-XCXC-C2026-0003</w:t>
      </w:r>
      <w:r/>
    </w:p>
    <w:p>
      <w:pPr>
        <w:ind w:firstLine="241"/>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二、采购内容及要求：</w:t>
      </w:r>
      <w:bookmarkEnd w:id="42"/>
      <w:r/>
    </w:p>
    <w:p>
      <w:pPr>
        <w:ind w:firstLine="482"/>
        <w:spacing w:line="360" w:lineRule="auto"/>
        <w:rPr>
          <w:rFonts w:hint="eastAsia" w:ascii="宋体" w:hAnsi="宋体" w:eastAsia="宋体" w:cs="宋体"/>
          <w:b/>
          <w:bCs/>
          <w:sz w:val="24"/>
          <w:szCs w:val="24"/>
        </w:rPr>
        <w:outlineLvl w:val="1"/>
      </w:pPr>
      <w:r/>
      <w:bookmarkStart w:id="43" w:name="_Toc291668812"/>
      <w:r>
        <w:rPr>
          <w:rFonts w:hint="eastAsia" w:ascii="宋体" w:hAnsi="宋体" w:eastAsia="宋体" w:cs="宋体"/>
          <w:b/>
          <w:bCs/>
          <w:sz w:val="24"/>
          <w:szCs w:val="24"/>
        </w:rPr>
        <w:t xml:space="preserve">（一）变电所智能化线上服务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基于智能电力运维系统平台平台，对用户变电所进行远程实时监控、智能分析和在线运维。远程实时监控提供实时与历史的在线数据监控功能；智能分析提供包括数据、波形、故障预警、用电质量和能效的分析及报告；在线运维、实现在线报修，在线监控，故障分析，维修管理等服务功能。消除传统人工周期性巡检的盲区，提高变电所安全运行保障，帮助用户最终实现变电所“少人值班”或“无人值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（1）智能运维云平台：</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24小时配电室配电设备设施、电力运行远程监测、故障报警、火灾隐患预警等，实现电力事故的预防和控制，提高电力安全运行等级。</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（2）电力数据在线监测：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电力运行数据实时监测、分析及诊断，电量分级计量、电费分项核算等各类统计报表，实现能耗管理数字化、电力越限预警可视化等。</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（3）网络值班巡检：</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24小时配电室远程网络值班巡视，远程巡检配电室动态环境状况、安全防护等。</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（4）智能移动客户终端：</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随时随地方便快捷的手持管理工具，手持移动PC端或手机APP远程便捷管理，智能化、网络化让电力运行管理、设备维保工作更加的便捷、高效及专业化。</w:t>
      </w:r>
      <w:r/>
    </w:p>
    <w:p>
      <w:p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（二）线下服务</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（1）值班</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成交人应保证安排2名专业高压人员24小时驻守变电所现场，进一步保障图书馆的用电安全。在图书馆场馆举办重大活动或会议期间，需增加应急维护人员与图书馆现场驻守人员一起完成保电任务。</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（2）巡检</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定期巡视高、低压电气设备。包括一、二次回路、变压器、开关柜、继电保护回路、电容柜、母排联接、仪表指示灯等，并做好相关记录交采购人存档备案。</w:t>
      </w:r>
      <w:r/>
    </w:p>
    <w:p>
      <w:pPr>
        <w:numPr>
          <w:ilvl w:val="0"/>
          <w:numId w:val="5"/>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高压开关柜：</w:t>
      </w:r>
      <w:r/>
    </w:p>
    <w:p>
      <w:pPr>
        <w:numPr>
          <w:ilvl w:val="0"/>
          <w:numId w:val="6"/>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开关柜屏上指示灯、带电显示器指示应正常，操作方式选择开关、机械操作把手投切位置应正确，控制电源及电压回路电源分合闸指示正确；</w:t>
      </w:r>
      <w:r/>
    </w:p>
    <w:p>
      <w:pPr>
        <w:numPr>
          <w:ilvl w:val="0"/>
          <w:numId w:val="6"/>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分、合闸位置指示器与实际运行方式相符；</w:t>
      </w:r>
      <w:r/>
    </w:p>
    <w:p>
      <w:pPr>
        <w:numPr>
          <w:ilvl w:val="0"/>
          <w:numId w:val="6"/>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屏面表计、继电器工作应正常，无异声、异味及过热现象，操作方式切换开关正常在“就地”位置；</w:t>
      </w:r>
      <w:r/>
    </w:p>
    <w:p>
      <w:pPr>
        <w:numPr>
          <w:ilvl w:val="0"/>
          <w:numId w:val="6"/>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柜内照明正常，通过观察窗观察柜内设备应正常;绝缘子应完好,无破损；</w:t>
      </w:r>
      <w:r/>
    </w:p>
    <w:p>
      <w:pPr>
        <w:numPr>
          <w:ilvl w:val="0"/>
          <w:numId w:val="6"/>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柜内应无放电声、异味和不均匀的机械噪声,柜体温升正常；</w:t>
      </w:r>
      <w:r/>
    </w:p>
    <w:p>
      <w:pPr>
        <w:numPr>
          <w:ilvl w:val="0"/>
          <w:numId w:val="6"/>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柜体、母线槽应无过热、变形、下沉，各封闭板螺丝应齐全，无松动、锈蚀，接地应牢固；</w:t>
      </w:r>
      <w:r/>
    </w:p>
    <w:p>
      <w:pPr>
        <w:numPr>
          <w:ilvl w:val="0"/>
          <w:numId w:val="6"/>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真空断路器灭弧室应无漏气,灭弧室内屏蔽罩如为玻璃材料的表面应呈金黄色光泽,无氧化发黑迹象，SF</w:t>
      </w:r>
      <w:r>
        <w:rPr>
          <w:rFonts w:hint="eastAsia" w:ascii="宋体" w:hAnsi="宋体" w:eastAsia="宋体" w:cs="宋体"/>
          <w:bCs/>
          <w:sz w:val="24"/>
          <w:szCs w:val="24"/>
          <w:vertAlign w:val="subscript"/>
        </w:rPr>
        <w:t xml:space="preserve">6</w:t>
      </w:r>
      <w:r>
        <w:rPr>
          <w:rFonts w:hint="eastAsia" w:ascii="宋体" w:hAnsi="宋体" w:eastAsia="宋体" w:cs="宋体"/>
          <w:bCs/>
          <w:sz w:val="24"/>
          <w:szCs w:val="24"/>
        </w:rPr>
        <w:t xml:space="preserve">断路器气体压力应正常，瓷质部分及绝缘隔板应完好，无闪络放电痕迹, 接头及断路器无发热，对于无法直接进行测温的封闭式开关柜，巡视时可用手触摸各开关柜的柜体，以确认开关柜是否发热；</w:t>
      </w:r>
      <w:r/>
    </w:p>
    <w:p>
      <w:pPr>
        <w:numPr>
          <w:ilvl w:val="0"/>
          <w:numId w:val="6"/>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断路器操作结构应完好,直流接触器有无积尘,二次端子有无锈蚀；</w:t>
      </w:r>
      <w:r/>
    </w:p>
    <w:p>
      <w:pPr>
        <w:numPr>
          <w:ilvl w:val="0"/>
          <w:numId w:val="6"/>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接地牢固可靠,封闭性能及防小动物设施应完好。</w:t>
      </w:r>
      <w:r/>
    </w:p>
    <w:p>
      <w:pPr>
        <w:numPr>
          <w:ilvl w:val="0"/>
          <w:numId w:val="5"/>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低压配电柜</w:t>
      </w:r>
      <w:r/>
    </w:p>
    <w:p>
      <w:pPr>
        <w:numPr>
          <w:ilvl w:val="0"/>
          <w:numId w:val="7"/>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主电路(铜排母线)、分路的刀开关、断路器连接部位固定螺丝，与仪表指示是否对应</w:t>
      </w:r>
      <w:r/>
    </w:p>
    <w:p>
      <w:pPr>
        <w:numPr>
          <w:ilvl w:val="0"/>
          <w:numId w:val="7"/>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输出线路中各部位连接点有无过热变色等现象</w:t>
      </w:r>
      <w:r/>
    </w:p>
    <w:p>
      <w:pPr>
        <w:numPr>
          <w:ilvl w:val="0"/>
          <w:numId w:val="7"/>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在运行中三相负荷是否平衡、三相电压是否相同，检查车间负载电压降是否超出规定</w:t>
      </w:r>
      <w:r/>
    </w:p>
    <w:p>
      <w:pPr>
        <w:numPr>
          <w:ilvl w:val="0"/>
          <w:numId w:val="7"/>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各配电柜和电器内部，有无异声、异味</w:t>
      </w:r>
      <w:r/>
    </w:p>
    <w:p>
      <w:pPr>
        <w:numPr>
          <w:ilvl w:val="0"/>
          <w:numId w:val="7"/>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带灭弧罩的断路器，三相灭弧罩是否完整无缺</w:t>
      </w:r>
      <w:r/>
    </w:p>
    <w:p>
      <w:pPr>
        <w:numPr>
          <w:ilvl w:val="0"/>
          <w:numId w:val="7"/>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检查断路器、电磁铁芯吸合是否正常，有无线圈过热或噪声过大</w:t>
      </w:r>
      <w:r/>
    </w:p>
    <w:p>
      <w:pPr>
        <w:numPr>
          <w:ilvl w:val="0"/>
          <w:numId w:val="7"/>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母线绝缘夹有无损伤和歪斜，母线夹固定螺丝有无松脱</w:t>
      </w:r>
      <w:r/>
    </w:p>
    <w:p>
      <w:pPr>
        <w:numPr>
          <w:ilvl w:val="0"/>
          <w:numId w:val="7"/>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配电柜电器的表面是否清洁，接地连接是否正常良好</w:t>
      </w:r>
      <w:r/>
    </w:p>
    <w:p>
      <w:pPr>
        <w:numPr>
          <w:ilvl w:val="0"/>
          <w:numId w:val="5"/>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变压器</w:t>
      </w:r>
      <w:r/>
    </w:p>
    <w:p>
      <w:pPr>
        <w:numPr>
          <w:ilvl w:val="0"/>
          <w:numId w:val="8"/>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变压器温度是否正常，温控器完好，温度报警值在140℃,超温跳闸值在150℃,自动起风机值在90℃,自动停风机值在80℃；</w:t>
      </w:r>
      <w:r/>
    </w:p>
    <w:p>
      <w:pPr>
        <w:numPr>
          <w:ilvl w:val="0"/>
          <w:numId w:val="8"/>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器身及高低压接线端有无发热变色迹象，有无异常响声和气味；</w:t>
      </w:r>
      <w:r/>
    </w:p>
    <w:p>
      <w:pPr>
        <w:numPr>
          <w:ilvl w:val="0"/>
          <w:numId w:val="8"/>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外观无破损、无震动；</w:t>
      </w:r>
      <w:r/>
    </w:p>
    <w:p>
      <w:pPr>
        <w:numPr>
          <w:ilvl w:val="0"/>
          <w:numId w:val="8"/>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各连接导线、母排温升正常。</w:t>
      </w:r>
      <w:r/>
    </w:p>
    <w:p>
      <w:pPr>
        <w:numPr>
          <w:ilvl w:val="0"/>
          <w:numId w:val="5"/>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配电所环境</w:t>
      </w:r>
      <w:r/>
    </w:p>
    <w:p>
      <w:pPr>
        <w:numPr>
          <w:ilvl w:val="0"/>
          <w:numId w:val="9"/>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变电所各处门、窗是否完好，门锁完好；</w:t>
      </w:r>
      <w:r/>
    </w:p>
    <w:p>
      <w:pPr>
        <w:numPr>
          <w:ilvl w:val="0"/>
          <w:numId w:val="9"/>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雨天屋顶有无渗漏水现象；</w:t>
      </w:r>
      <w:r/>
    </w:p>
    <w:p>
      <w:pPr>
        <w:numPr>
          <w:ilvl w:val="0"/>
          <w:numId w:val="9"/>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变电所内严禁堆放杂物，做到室内设备无积灰、油泥、地面无积尘、无积水，环境清洁整齐；</w:t>
      </w:r>
      <w:r/>
    </w:p>
    <w:p>
      <w:pPr>
        <w:numPr>
          <w:ilvl w:val="0"/>
          <w:numId w:val="9"/>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变电所内照明足够良好、通风设备良好；</w:t>
      </w:r>
      <w:r/>
    </w:p>
    <w:p>
      <w:pPr>
        <w:numPr>
          <w:ilvl w:val="0"/>
          <w:numId w:val="9"/>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消防设施齐全有效；</w:t>
      </w:r>
      <w:r/>
    </w:p>
    <w:p>
      <w:pPr>
        <w:numPr>
          <w:ilvl w:val="0"/>
          <w:numId w:val="9"/>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变电所室内环境温度不应超过40℃，相对湿度应小于80%；</w:t>
      </w:r>
      <w:r/>
    </w:p>
    <w:p>
      <w:pPr>
        <w:numPr>
          <w:ilvl w:val="0"/>
          <w:numId w:val="9"/>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变电所内排水通畅，屋面、地下无渗水漏水现象。防虫、防鼠设施完善；</w:t>
      </w:r>
      <w:r/>
    </w:p>
    <w:p>
      <w:pPr>
        <w:numPr>
          <w:ilvl w:val="0"/>
          <w:numId w:val="9"/>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专用工具安全用品应放置在操作方便的指定位置；</w:t>
      </w:r>
      <w:r/>
    </w:p>
    <w:p>
      <w:pPr>
        <w:numPr>
          <w:ilvl w:val="0"/>
          <w:numId w:val="9"/>
        </w:numPr>
        <w:ind w:left="5"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配电室卫生清扫。</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（3）抢修服务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成交人在图书馆10公里范围内设有应急服务响应站点，提供24小时电力故障报修服务，对故障报修请求做到快速反应，及时组织维修处理，保证事故告警半小时内到达现场。维修人员具备应急处理事故、保电送电能力；维修人员到达现场后应立即采取有效措施，防止故障扩大。抢修过程中需严格电力安全规程及其他安全操作制度，严禁发生触电事故。同时成交人及时向采购人指定的专职负责人报告，并记入抢修记录和有关记录。抢修结束后，采购人专职负责人对抢修服务质量进行评价。</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（4）预防性试验</w:t>
      </w:r>
      <w:r/>
    </w:p>
    <w:p>
      <w:pPr>
        <w:numPr>
          <w:ilvl w:val="0"/>
          <w:numId w:val="10"/>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按相关规范要求，定期组织高、低压设备、变压器及接地系统预防性试验，并形成正式检验报告交采购人存档备案。</w:t>
      </w:r>
      <w:r/>
    </w:p>
    <w:p>
      <w:pPr>
        <w:numPr>
          <w:ilvl w:val="0"/>
          <w:numId w:val="10"/>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按相关规范要求，定期对现继电保护及自动装置等设备进行校验试验，并将检验结果形成正式书面报告交业主存档备案。</w:t>
      </w:r>
      <w:r/>
    </w:p>
    <w:p>
      <w:pPr>
        <w:numPr>
          <w:ilvl w:val="0"/>
          <w:numId w:val="10"/>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按照相关规范，定期组织</w:t>
      </w:r>
      <w:r>
        <w:rPr>
          <w:rFonts w:hint="eastAsia" w:ascii="宋体" w:hAnsi="宋体" w:eastAsia="宋体" w:cs="宋体"/>
          <w:bCs/>
          <w:sz w:val="24"/>
          <w:szCs w:val="24"/>
          <w:lang w:val="zh-TW" w:eastAsia="zh-TW"/>
        </w:rPr>
        <w:t xml:space="preserve">工器具试验</w:t>
      </w:r>
      <w:r>
        <w:rPr>
          <w:rFonts w:hint="eastAsia" w:ascii="宋体" w:hAnsi="宋体" w:eastAsia="宋体" w:cs="宋体"/>
          <w:bCs/>
          <w:sz w:val="24"/>
          <w:szCs w:val="24"/>
          <w:lang w:val="zh-TW"/>
        </w:rPr>
        <w:t xml:space="preserve">。</w:t>
      </w:r>
      <w:r>
        <w:rPr>
          <w:rFonts w:hint="eastAsia" w:ascii="宋体" w:hAnsi="宋体" w:eastAsia="宋体" w:cs="宋体"/>
          <w:bCs/>
          <w:sz w:val="24"/>
          <w:szCs w:val="24"/>
          <w:lang w:val="zh-TW" w:eastAsia="zh-TW"/>
        </w:rPr>
        <w:t xml:space="preserve">主要内容包括：10KV验电笔按绝缘安全工器具试验；10KV短路接地线、400V短路接地线按绝缘安全工器具试验；绝缘地毯（胶垫）按绝缘安全工器具试验；绝缘鞋、绝缘手套按绝缘安全工器具试验。试验合格贴好标签、签名、日期及试验报告，采购人确认人签名。绝缘安全工器具有缺陷或隐患的维保单位以书面形式提出。</w:t>
      </w:r>
      <w:r/>
    </w:p>
    <w:p>
      <w:pPr>
        <w:pStyle w:val="665"/>
        <w:ind w:firstLine="48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（5）年度停电检修保养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 柜体、外壳、电气元器件、连接铜排除尘。高压电缆沟下检查，封堵电缆口，清除杂物，年度为1次检修保养周期，所有设备运行状况必须记录在案。确保供电设施设备工况良好。</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 一次系统紧固件重新紧固，如发现热退火螺丝要进行更换。插件连接部分加凡士林，传动机械部分润滑等，年度为1次检修保养周期，所有设备运行状况必须记录在案。确保供电设施设备工况良好。</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 二次系统紧固件重新紧固，检查连接确保紧固、可靠，变压器风扇、温控检查、测试，电容器检查、测试，插件连接部分加凡士林等。年度为1次检修维保周期，所有设备运行状况必须记录在案，确保供电设施设备工况良好。</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 检修保养中发现设备设施有缺陷或隐患的必须向甲方以书面形式提出。</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设备具体</w:t>
      </w:r>
      <w:r>
        <w:rPr>
          <w:rFonts w:hint="eastAsia" w:ascii="宋体" w:hAnsi="宋体" w:eastAsia="宋体" w:cs="宋体"/>
          <w:sz w:val="24"/>
          <w:szCs w:val="24"/>
        </w:rPr>
        <w:t xml:space="preserve">清单如下：</w:t>
      </w:r>
      <w:r/>
    </w:p>
    <w:tbl>
      <w:tblPr>
        <w:tblStyle w:val="65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02"/>
        <w:gridCol w:w="2657"/>
        <w:gridCol w:w="1783"/>
        <w:gridCol w:w="2735"/>
        <w:gridCol w:w="779"/>
        <w:gridCol w:w="978"/>
      </w:tblGrid>
      <w:tr>
        <w:trPr>
          <w:jc w:val="center"/>
          <w:trHeight w:val="500"/>
        </w:trPr>
        <w:tc>
          <w:tcPr>
            <w:gridSpan w:val="6"/>
            <w:tcBorders>
              <w:top w:val="single" w:color="000000" w:sz="8" w:space="0"/>
              <w:left w:val="single" w:color="000000" w:sz="8" w:space="0"/>
              <w:bottom w:val="single" w:color="000000" w:sz="8" w:space="0"/>
              <w:right w:val="single" w:color="000000" w:sz="8" w:space="0"/>
            </w:tcBorders>
            <w:tcW w:w="10034" w:type="dxa"/>
            <w:vAlign w:val="center"/>
            <w:textDirection w:val="lrTb"/>
            <w:noWrap w:val="false"/>
          </w:tcPr>
          <w:p>
            <w:pPr>
              <w:ind w:firstLine="422"/>
              <w:jc w:val="left"/>
              <w:spacing w:line="360" w:lineRule="auto"/>
              <w:widowControl/>
              <w:rPr>
                <w:rFonts w:hint="eastAsia" w:ascii="宋体" w:hAnsi="宋体" w:eastAsia="宋体" w:cs="宋体"/>
                <w:b/>
                <w:bCs/>
                <w:sz w:val="21"/>
                <w:szCs w:val="21"/>
                <w:u w:val="single"/>
              </w:rPr>
            </w:pPr>
            <w:r>
              <w:rPr>
                <w:rFonts w:hint="eastAsia" w:ascii="宋体" w:hAnsi="宋体" w:eastAsia="宋体" w:cs="宋体"/>
                <w:b/>
                <w:bCs/>
                <w:sz w:val="21"/>
                <w:szCs w:val="21"/>
                <w:lang w:bidi="ar"/>
              </w:rPr>
              <w:t xml:space="preserve"> 苏州第一图书馆 变电所设备清单</w:t>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序号</w:t>
            </w:r>
            <w:r/>
          </w:p>
        </w:tc>
        <w:tc>
          <w:tcPr>
            <w:tcBorders>
              <w:top w:val="single" w:color="000000" w:sz="8" w:space="0"/>
              <w:left w:val="none" w:color="000000" w:sz="4" w:space="0"/>
              <w:bottom w:val="single" w:color="000000" w:sz="8" w:space="0"/>
              <w:right w:val="single" w:color="000000" w:sz="8" w:space="0"/>
            </w:tcBorders>
            <w:tcW w:w="2657" w:type="dxa"/>
            <w:vAlign w:val="center"/>
            <w:textDirection w:val="lrTb"/>
            <w:noWrap w:val="false"/>
          </w:tcPr>
          <w:p>
            <w:pPr>
              <w:ind w:firstLine="422"/>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设备名称</w:t>
            </w:r>
            <w:r/>
          </w:p>
        </w:tc>
        <w:tc>
          <w:tcPr>
            <w:tcBorders>
              <w:top w:val="single" w:color="000000" w:sz="8" w:space="0"/>
              <w:left w:val="none" w:color="000000" w:sz="4" w:space="0"/>
              <w:bottom w:val="single" w:color="000000" w:sz="8" w:space="0"/>
              <w:right w:val="single" w:color="000000" w:sz="8" w:space="0"/>
            </w:tcBorders>
            <w:tcW w:w="1783" w:type="dxa"/>
            <w:vAlign w:val="center"/>
            <w:textDirection w:val="lrTb"/>
            <w:noWrap w:val="false"/>
          </w:tcPr>
          <w:p>
            <w:pPr>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品牌</w:t>
            </w:r>
            <w:r/>
          </w:p>
        </w:tc>
        <w:tc>
          <w:tcPr>
            <w:tcBorders>
              <w:top w:val="single" w:color="000000" w:sz="8" w:space="0"/>
              <w:left w:val="none" w:color="000000" w:sz="4" w:space="0"/>
              <w:bottom w:val="single" w:color="000000" w:sz="8" w:space="0"/>
              <w:right w:val="single" w:color="000000" w:sz="8" w:space="0"/>
            </w:tcBorders>
            <w:tcW w:w="2735" w:type="dxa"/>
            <w:vAlign w:val="center"/>
            <w:textDirection w:val="lrTb"/>
            <w:noWrap w:val="false"/>
          </w:tcPr>
          <w:p>
            <w:pPr>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型号</w:t>
            </w:r>
            <w:r/>
          </w:p>
        </w:tc>
        <w:tc>
          <w:tcPr>
            <w:tcBorders>
              <w:top w:val="single" w:color="000000" w:sz="8" w:space="0"/>
              <w:left w:val="none" w:color="000000" w:sz="4" w:space="0"/>
              <w:bottom w:val="single" w:color="000000" w:sz="8" w:space="0"/>
              <w:right w:val="single" w:color="000000" w:sz="8" w:space="0"/>
            </w:tcBorders>
            <w:tcW w:w="779" w:type="dxa"/>
            <w:vAlign w:val="center"/>
            <w:textDirection w:val="lrTb"/>
            <w:noWrap w:val="false"/>
          </w:tcPr>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单位</w:t>
            </w:r>
            <w:r/>
          </w:p>
        </w:tc>
        <w:tc>
          <w:tcPr>
            <w:tcBorders>
              <w:top w:val="single" w:color="000000" w:sz="8" w:space="0"/>
              <w:left w:val="none" w:color="000000" w:sz="4" w:space="0"/>
              <w:bottom w:val="single" w:color="000000" w:sz="8" w:space="0"/>
              <w:right w:val="single" w:color="000000" w:sz="8" w:space="0"/>
            </w:tcBorders>
            <w:tcW w:w="978" w:type="dxa"/>
            <w:vAlign w:val="center"/>
            <w:textDirection w:val="lrTb"/>
            <w:noWrap w:val="false"/>
          </w:tcPr>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数量</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c>
          <w:tcPr>
            <w:tcBorders>
              <w:top w:val="none" w:color="000000" w:sz="4" w:space="0"/>
              <w:left w:val="none" w:color="000000" w:sz="4" w:space="0"/>
              <w:bottom w:val="none" w:color="000000" w:sz="4" w:space="0"/>
              <w:right w:val="single" w:color="000000" w:sz="8" w:space="0"/>
            </w:tcBorders>
            <w:tcW w:w="2657" w:type="dxa"/>
            <w:vAlign w:val="center"/>
            <w:vMerge w:val="restart"/>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干式变压器</w:t>
            </w:r>
            <w:r/>
          </w:p>
        </w:tc>
        <w:tc>
          <w:tcPr>
            <w:tcBorders>
              <w:top w:val="none" w:color="000000" w:sz="4" w:space="0"/>
              <w:left w:val="none" w:color="000000" w:sz="4" w:space="0"/>
              <w:bottom w:val="single" w:color="000000" w:sz="8" w:space="0"/>
              <w:right w:val="single" w:color="000000" w:sz="8" w:space="0"/>
            </w:tcBorders>
            <w:tcW w:w="1783" w:type="dxa"/>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顺特电气</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SCB9-1000/10</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c>
          <w:tcPr>
            <w:tcBorders>
              <w:top w:val="none" w:color="000000" w:sz="4" w:space="0"/>
              <w:left w:val="none" w:color="000000" w:sz="4" w:space="0"/>
              <w:bottom w:val="none" w:color="000000" w:sz="4" w:space="0"/>
              <w:right w:val="single" w:color="000000" w:sz="8" w:space="0"/>
            </w:tcBorders>
            <w:tcW w:w="2657"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000000" w:sz="8" w:space="0"/>
              <w:right w:val="single" w:color="000000" w:sz="8" w:space="0"/>
            </w:tcBorders>
            <w:tcW w:w="1783" w:type="dxa"/>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镇江天力变压器</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SCB10-1000/10</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3</w:t>
            </w:r>
            <w:r/>
          </w:p>
        </w:tc>
        <w:tc>
          <w:tcPr>
            <w:tcBorders>
              <w:top w:val="single" w:color="000000" w:sz="8" w:space="0"/>
              <w:left w:val="single" w:color="000000" w:sz="8" w:space="0"/>
              <w:bottom w:val="single" w:color="000000" w:sz="8" w:space="0"/>
              <w:right w:val="single" w:color="000000" w:sz="8" w:space="0"/>
            </w:tcBorders>
            <w:tcW w:w="2657" w:type="dxa"/>
            <w:vAlign w:val="center"/>
            <w:vMerge w:val="restart"/>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变压器温控仪</w:t>
            </w:r>
            <w:r/>
          </w:p>
        </w:tc>
        <w:tc>
          <w:tcPr>
            <w:tcBorders>
              <w:top w:val="none" w:color="000000" w:sz="4" w:space="0"/>
              <w:left w:val="none" w:color="000000" w:sz="4"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力得</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LD-B10-10D</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p>
        </w:tc>
        <w:tc>
          <w:tcPr>
            <w:tcBorders>
              <w:top w:val="single" w:color="000000" w:sz="8" w:space="0"/>
              <w:left w:val="single" w:color="000000" w:sz="8" w:space="0"/>
              <w:bottom w:val="single" w:color="000000" w:sz="8" w:space="0"/>
              <w:right w:val="single" w:color="000000" w:sz="8" w:space="0"/>
            </w:tcBorders>
            <w:tcW w:w="2657"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顺德机电</w:t>
            </w:r>
            <w:r/>
          </w:p>
        </w:tc>
        <w:tc>
          <w:tcPr>
            <w:tcBorders>
              <w:top w:val="single" w:color="000000" w:sz="8" w:space="0"/>
              <w:left w:val="single" w:color="000000" w:sz="8"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BWD-K-F</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p>
        </w:tc>
        <w:tc>
          <w:tcPr>
            <w:tcBorders>
              <w:top w:val="single" w:color="000000" w:sz="8" w:space="0"/>
              <w:left w:val="single" w:color="000000" w:sz="8"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真空断路器</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w:t>
            </w:r>
            <w:r/>
          </w:p>
        </w:tc>
        <w:tc>
          <w:tcPr>
            <w:tcBorders>
              <w:top w:val="single" w:color="000000" w:sz="8" w:space="0"/>
              <w:left w:val="single" w:color="000000" w:sz="8"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CV1-12(VS1)</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p>
        </w:tc>
        <w:tc>
          <w:tcPr>
            <w:tcBorders>
              <w:top w:val="single" w:color="000000" w:sz="8" w:space="0"/>
              <w:left w:val="single" w:color="000000" w:sz="8"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框架式断路器</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西门子</w:t>
            </w:r>
            <w:r/>
          </w:p>
        </w:tc>
        <w:tc>
          <w:tcPr>
            <w:tcBorders>
              <w:top w:val="single" w:color="000000" w:sz="8" w:space="0"/>
              <w:left w:val="single" w:color="000000" w:sz="8"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3WN6</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7</w:t>
            </w:r>
            <w:r/>
          </w:p>
        </w:tc>
        <w:tc>
          <w:tcPr>
            <w:tcBorders>
              <w:top w:val="single" w:color="000000" w:sz="8" w:space="0"/>
              <w:left w:val="single" w:color="000000" w:sz="8"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塑壳式断路器</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西门子</w:t>
            </w:r>
            <w:r/>
          </w:p>
        </w:tc>
        <w:tc>
          <w:tcPr>
            <w:tcBorders>
              <w:top w:val="single" w:color="000000" w:sz="8" w:space="0"/>
              <w:left w:val="single" w:color="000000" w:sz="8"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3VF3</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61</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8</w:t>
            </w:r>
            <w:r/>
          </w:p>
        </w:tc>
        <w:tc>
          <w:tcPr>
            <w:tcBorders>
              <w:top w:val="single" w:color="000000" w:sz="8" w:space="0"/>
              <w:left w:val="single" w:color="000000" w:sz="8"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电容器</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苏容电气</w:t>
            </w:r>
            <w:r/>
          </w:p>
        </w:tc>
        <w:tc>
          <w:tcPr>
            <w:tcBorders>
              <w:top w:val="single" w:color="000000" w:sz="8" w:space="0"/>
              <w:left w:val="single" w:color="000000" w:sz="8"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BSMJ0.45-30-3</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块</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32</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9</w:t>
            </w:r>
            <w:r/>
          </w:p>
        </w:tc>
        <w:tc>
          <w:tcPr>
            <w:tcBorders>
              <w:top w:val="none" w:color="000000" w:sz="4" w:space="0"/>
              <w:left w:val="none" w:color="000000" w:sz="4"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10kV高压计量柜</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常熟开关厂</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KZN1-10</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w:t>
            </w:r>
            <w:r/>
          </w:p>
        </w:tc>
        <w:tc>
          <w:tcPr>
            <w:tcBorders>
              <w:top w:val="none" w:color="000000" w:sz="4" w:space="0"/>
              <w:left w:val="none" w:color="000000" w:sz="4" w:space="0"/>
              <w:bottom w:val="single" w:color="000000" w:sz="8" w:space="0"/>
              <w:right w:val="single" w:color="000000" w:sz="8" w:space="0"/>
            </w:tcBorders>
            <w:tcW w:w="2657" w:type="dxa"/>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10kV高压PT、避雷器柜</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常熟开关厂</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KZN1-10</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11</w:t>
            </w:r>
            <w:r/>
          </w:p>
        </w:tc>
        <w:tc>
          <w:tcPr>
            <w:tcBorders>
              <w:top w:val="none" w:color="000000" w:sz="4" w:space="0"/>
              <w:left w:val="none" w:color="000000" w:sz="4"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10kV高压主变柜</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常熟开关厂</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KZN1-10</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12</w:t>
            </w:r>
            <w:r/>
          </w:p>
        </w:tc>
        <w:tc>
          <w:tcPr>
            <w:tcBorders>
              <w:top w:val="none" w:color="000000" w:sz="4" w:space="0"/>
              <w:left w:val="none" w:color="000000" w:sz="4"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低压进线柜</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常熟开关厂</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GGHL</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13</w:t>
            </w:r>
            <w:r/>
          </w:p>
        </w:tc>
        <w:tc>
          <w:tcPr>
            <w:tcBorders>
              <w:top w:val="none" w:color="000000" w:sz="4" w:space="0"/>
              <w:left w:val="none" w:color="000000" w:sz="4"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电容柜</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常熟开关厂</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GGHL</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14</w:t>
            </w:r>
            <w:r/>
          </w:p>
        </w:tc>
        <w:tc>
          <w:tcPr>
            <w:tcBorders>
              <w:top w:val="none" w:color="000000" w:sz="4" w:space="0"/>
              <w:left w:val="none" w:color="000000" w:sz="4"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馈线柜</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常熟开关厂</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GGHL</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11</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15</w:t>
            </w:r>
            <w:r/>
          </w:p>
        </w:tc>
        <w:tc>
          <w:tcPr>
            <w:tcBorders>
              <w:top w:val="none" w:color="000000" w:sz="4" w:space="0"/>
              <w:left w:val="none" w:color="000000" w:sz="4"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母联柜</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常熟开关厂</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GGHL</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r>
      <w:tr>
        <w:trPr>
          <w:jc w:val="center"/>
          <w:trHeight w:val="400"/>
        </w:trPr>
        <w:tc>
          <w:tcPr>
            <w:tcBorders>
              <w:top w:val="none" w:color="000000" w:sz="4" w:space="0"/>
              <w:left w:val="single" w:color="000000" w:sz="8" w:space="0"/>
              <w:bottom w:val="single" w:color="000000" w:sz="8" w:space="0"/>
              <w:right w:val="single" w:color="000000" w:sz="8" w:space="0"/>
            </w:tcBorders>
            <w:tcW w:w="1102"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16</w:t>
            </w:r>
            <w:r/>
          </w:p>
        </w:tc>
        <w:tc>
          <w:tcPr>
            <w:tcBorders>
              <w:top w:val="none" w:color="000000" w:sz="4" w:space="0"/>
              <w:left w:val="none" w:color="000000" w:sz="4" w:space="0"/>
              <w:bottom w:val="single" w:color="000000" w:sz="8" w:space="0"/>
              <w:right w:val="single" w:color="000000" w:sz="8" w:space="0"/>
            </w:tcBorders>
            <w:tcW w:w="2657"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信号柜</w:t>
            </w:r>
            <w:r/>
          </w:p>
        </w:tc>
        <w:tc>
          <w:tcPr>
            <w:tcBorders>
              <w:top w:val="single" w:color="000000" w:sz="8" w:space="0"/>
              <w:left w:val="single" w:color="000000" w:sz="8" w:space="0"/>
              <w:bottom w:val="single" w:color="000000" w:sz="8" w:space="0"/>
              <w:right w:val="single" w:color="000000" w:sz="8" w:space="0"/>
            </w:tcBorders>
            <w:tcW w:w="1783"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常熟开关厂</w:t>
            </w:r>
            <w:r/>
          </w:p>
        </w:tc>
        <w:tc>
          <w:tcPr>
            <w:tcBorders>
              <w:top w:val="none" w:color="000000" w:sz="4" w:space="0"/>
              <w:left w:val="none" w:color="000000" w:sz="4" w:space="0"/>
              <w:bottom w:val="single" w:color="000000" w:sz="8" w:space="0"/>
              <w:right w:val="single" w:color="000000" w:sz="8" w:space="0"/>
            </w:tcBorders>
            <w:tcW w:w="2735"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JY6002</w:t>
            </w:r>
            <w:r/>
          </w:p>
        </w:tc>
        <w:tc>
          <w:tcPr>
            <w:tcBorders>
              <w:top w:val="none" w:color="000000" w:sz="4" w:space="0"/>
              <w:left w:val="none" w:color="000000" w:sz="4" w:space="0"/>
              <w:bottom w:val="single" w:color="000000" w:sz="8" w:space="0"/>
              <w:right w:val="single" w:color="000000" w:sz="8" w:space="0"/>
            </w:tcBorders>
            <w:tcW w:w="7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Borders>
              <w:top w:val="none" w:color="000000" w:sz="4" w:space="0"/>
              <w:left w:val="none" w:color="000000" w:sz="4" w:space="0"/>
              <w:bottom w:val="single" w:color="000000" w:sz="8" w:space="0"/>
              <w:right w:val="single" w:color="000000" w:sz="8" w:space="0"/>
            </w:tcBorders>
            <w:tcW w:w="978"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r>
    </w:tbl>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bl>
      <w:tblPr>
        <w:tblStyle w:val="659"/>
        <w:tblW w:w="9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2650"/>
        <w:gridCol w:w="1767"/>
        <w:gridCol w:w="2733"/>
        <w:gridCol w:w="817"/>
        <w:gridCol w:w="927"/>
      </w:tblGrid>
      <w:tr>
        <w:trPr>
          <w:jc w:val="center"/>
          <w:trHeight w:val="500"/>
        </w:trPr>
        <w:tc>
          <w:tcPr>
            <w:gridSpan w:val="6"/>
            <w:tcW w:w="9973" w:type="dxa"/>
            <w:vAlign w:val="center"/>
            <w:textDirection w:val="lrTb"/>
            <w:noWrap w:val="false"/>
          </w:tcPr>
          <w:p>
            <w:pPr>
              <w:ind w:firstLine="422"/>
              <w:jc w:val="left"/>
              <w:spacing w:line="360" w:lineRule="auto"/>
              <w:widowControl/>
              <w:rPr>
                <w:rFonts w:hint="eastAsia" w:ascii="宋体" w:hAnsi="宋体" w:eastAsia="宋体" w:cs="宋体"/>
                <w:b/>
                <w:bCs/>
                <w:sz w:val="21"/>
                <w:szCs w:val="21"/>
                <w:u w:val="single"/>
              </w:rPr>
            </w:pPr>
            <w:r>
              <w:rPr>
                <w:rFonts w:hint="eastAsia" w:ascii="宋体" w:hAnsi="宋体" w:eastAsia="宋体" w:cs="宋体"/>
                <w:b/>
                <w:bCs/>
                <w:sz w:val="21"/>
                <w:szCs w:val="21"/>
                <w:lang w:bidi="ar"/>
              </w:rPr>
              <w:t xml:space="preserve"> 苏州第二图书馆 变电所设备清单</w:t>
            </w:r>
            <w:r/>
          </w:p>
        </w:tc>
      </w:tr>
      <w:tr>
        <w:trPr>
          <w:jc w:val="center"/>
          <w:trHeight w:val="400"/>
        </w:trPr>
        <w:tc>
          <w:tcPr>
            <w:tcW w:w="1079" w:type="dxa"/>
            <w:vAlign w:val="center"/>
            <w:textDirection w:val="lrTb"/>
            <w:noWrap w:val="false"/>
          </w:tcPr>
          <w:p>
            <w:pPr>
              <w:ind w:firstLine="422"/>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序号</w:t>
            </w:r>
            <w:r/>
          </w:p>
        </w:tc>
        <w:tc>
          <w:tcPr>
            <w:tcW w:w="2650" w:type="dxa"/>
            <w:vAlign w:val="center"/>
            <w:textDirection w:val="lrTb"/>
            <w:noWrap w:val="false"/>
          </w:tcPr>
          <w:p>
            <w:pPr>
              <w:ind w:firstLine="422"/>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设备名称</w:t>
            </w:r>
            <w:r/>
          </w:p>
        </w:tc>
        <w:tc>
          <w:tcPr>
            <w:tcW w:w="1767" w:type="dxa"/>
            <w:vAlign w:val="center"/>
            <w:textDirection w:val="lrTb"/>
            <w:noWrap w:val="false"/>
          </w:tcPr>
          <w:p>
            <w:pPr>
              <w:ind w:firstLine="42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品牌</w:t>
            </w:r>
            <w:r/>
          </w:p>
        </w:tc>
        <w:tc>
          <w:tcPr>
            <w:tcW w:w="2733" w:type="dxa"/>
            <w:vAlign w:val="center"/>
            <w:textDirection w:val="lrTb"/>
            <w:noWrap w:val="false"/>
          </w:tcPr>
          <w:p>
            <w:pPr>
              <w:ind w:firstLine="42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型号</w:t>
            </w:r>
            <w:r/>
          </w:p>
        </w:tc>
        <w:tc>
          <w:tcPr>
            <w:tcW w:w="817" w:type="dxa"/>
            <w:vAlign w:val="center"/>
            <w:textDirection w:val="lrTb"/>
            <w:noWrap w:val="false"/>
          </w:tcPr>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单位</w:t>
            </w:r>
            <w:r/>
          </w:p>
        </w:tc>
        <w:tc>
          <w:tcPr>
            <w:tcW w:w="927" w:type="dxa"/>
            <w:vAlign w:val="center"/>
            <w:textDirection w:val="lrTb"/>
            <w:noWrap w:val="false"/>
          </w:tcPr>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数量</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c>
          <w:tcPr>
            <w:tcW w:w="2650" w:type="dxa"/>
            <w:vAlign w:val="center"/>
            <w:vMerge w:val="restart"/>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干式变压器</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许继变压器</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SCB12-800/10-NX2</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c>
          <w:tcPr>
            <w:tcW w:w="2650"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许继变压器</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SCB12-1600/10-NX2</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3</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变压器温控仪</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江苏龙心电力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LX-BW10-Rs485</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真空断路器</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CV1-12(VS1)</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高压综保</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许继电气</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WHB-871</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高压多功能表</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龙源科技</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96系列</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块</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7</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框架式断路器</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CW3</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27</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8</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塑壳式断路器</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常熟开关</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CM3</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130</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9</w:t>
            </w:r>
            <w:r/>
          </w:p>
        </w:tc>
        <w:tc>
          <w:tcPr>
            <w:tcW w:w="2650" w:type="dxa"/>
            <w:vAlign w:val="center"/>
            <w:vMerge w:val="restart"/>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低压多功能表</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爱博精电</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96系列</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块</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12</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w:t>
            </w:r>
            <w:r/>
          </w:p>
        </w:tc>
        <w:tc>
          <w:tcPr>
            <w:tcW w:w="2650"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爱博精电</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72系列</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块</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145</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11</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电容器</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江苏现代电力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IRPC</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块</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52</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12</w:t>
            </w:r>
            <w:r/>
          </w:p>
        </w:tc>
        <w:tc>
          <w:tcPr>
            <w:tcW w:w="2650" w:type="dxa"/>
            <w:vAlign w:val="center"/>
            <w:vMerge w:val="restart"/>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蓄电池</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天津蓝天电源</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6-FM-40(12V40Ah)</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块</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13</w:t>
            </w:r>
            <w:r/>
          </w:p>
        </w:tc>
        <w:tc>
          <w:tcPr>
            <w:tcW w:w="2650" w:type="dxa"/>
            <w:vAlign w:val="center"/>
            <w:vMerge w:val="continue"/>
            <w:textDirection w:val="lrTb"/>
            <w:noWrap w:val="false"/>
          </w:tcPr>
          <w:p>
            <w:pPr>
              <w:ind w:firstLine="42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江苏欧力特</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LCPA38-12(12V38Ah)</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块</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16</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14</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10kV高压进线柜</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KYN28A-12</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15</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10kV高压计量柜</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KYN28A-12</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53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16</w:t>
            </w:r>
            <w:r/>
          </w:p>
        </w:tc>
        <w:tc>
          <w:tcPr>
            <w:tcW w:w="2650" w:type="dxa"/>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10kV高压PT、避雷器柜</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KYN28A-12</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17</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10kV高压主变柜</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KYN28A-12</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18</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低压进线柜</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MNS</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19</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电容柜</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MNS</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20</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馈线柜</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MNS</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23</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21</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母联柜</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MNS</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r>
      <w:tr>
        <w:trPr>
          <w:jc w:val="center"/>
          <w:trHeight w:val="400"/>
        </w:trPr>
        <w:tc>
          <w:tcPr>
            <w:tcW w:w="1079"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22</w:t>
            </w:r>
            <w:r/>
          </w:p>
        </w:tc>
        <w:tc>
          <w:tcPr>
            <w:tcW w:w="2650" w:type="dxa"/>
            <w:vAlign w:val="center"/>
            <w:textDirection w:val="lrTb"/>
            <w:noWrap w:val="false"/>
          </w:tcPr>
          <w:p>
            <w:pPr>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直流电源柜</w:t>
            </w:r>
            <w:r/>
          </w:p>
        </w:tc>
        <w:tc>
          <w:tcPr>
            <w:tcW w:w="1767" w:type="dxa"/>
            <w:vAlign w:val="center"/>
            <w:textDirection w:val="lrTb"/>
            <w:noWrap w:val="false"/>
          </w:tcPr>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龙源电力</w:t>
            </w:r>
            <w:r/>
          </w:p>
        </w:tc>
        <w:tc>
          <w:tcPr>
            <w:tcW w:w="2733" w:type="dxa"/>
            <w:vAlign w:val="center"/>
            <w:textDirection w:val="lrTb"/>
            <w:noWrap w:val="false"/>
          </w:tcPr>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GZDW33-40/220M</w:t>
            </w:r>
            <w:r/>
          </w:p>
        </w:tc>
        <w:tc>
          <w:tcPr>
            <w:tcW w:w="81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w:t>
            </w:r>
            <w:r/>
          </w:p>
        </w:tc>
        <w:tc>
          <w:tcPr>
            <w:tcW w:w="927" w:type="dxa"/>
            <w:vAlign w:val="center"/>
            <w:textDirection w:val="lrTb"/>
            <w:noWrap w:val="false"/>
          </w:tcPr>
          <w:p>
            <w:pPr>
              <w:ind w:firstLine="420"/>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（三）维保服务要求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1、在合同履行期间，所有与本项目相关的服务配套设备及工器具均由供应商提供。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合同履行期间，供应商须严格遵守采购人各项规章制度和安全管理规范，为本项目配备不少于2人的专职服务团队，制定详细的工作流程和岗位职责，并负责服务人员的安全及专业技能、知识的培训。因服务人员违反安全操作规程所造成一切后果均由供应商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合同履行期间，所更换的主要元器件建议与原设备的品牌、型号一致，更换事宜须经采购人相关负责人员签字确认方可实施。所需更换元器件单价：＜500元的，由供应商承担；≥500元的，经采购人确认同意后，根据采购人的相关管理规定，由采购人另行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（1）供应商在服务期间须遵守项目现场的一切规章制度，负责保管、看护项目现场的设备及其配件。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（2）供应商在服务期间如对邻近设备、管线等造成损坏，应由供应商负责修复及承担一切费用。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（3）供应商在项目现场服务时应设置警告标语及防护栏，防止其他无关人员进入现场；服务结束后须负责及时清理项目现场垃圾。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（4）供应商须承担维保服务人员的安全责任。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（5）供应商维修工作和抢修工作完毕后须及时通知采购人，并建立维修日志，按季度上报采购人备案。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5、因供应商管理不善，造成服务范围内的设施、设备等损坏的，由直接责任人赔偿，若直接责任人因故无法赔偿的，采购人有权要求供应商负责赔偿损失，情节严重的可终止合同或诉诸法律。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6、采购人有权检查监督供应商的服务工作质量，对不称职的服务人员有权要求供应商在一周内更换，直至人选合格为止。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7、供应商须遵守《中华人民共和国民法典》的相关规定，对于服务人员的劳动关系和权益保护方面的相关问题均由供应商负责解决。</w:t>
      </w:r>
      <w:r/>
    </w:p>
    <w:p>
      <w:pPr>
        <w:ind w:firstLine="482"/>
        <w:spacing w:line="360" w:lineRule="auto"/>
        <w:tabs>
          <w:tab w:val="left" w:pos="567"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三、有关说明：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2、供应商须在项目实施前把详细的实施方案报送采购人审批，经批准同意后方可以组织实施。在项目实施期间供应商应遵守项目现场及采购人的各项规章制度。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3、供应商在项目实施期间应无条件的接受采购人的监督管理，提出的质量问题要及时整改，整改完毕后通知采购人检查验收，合格后书面报送采购人备案。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5、与本次采购项目有关的质量、安全问题均由供应商负责，相关的人员、财产责任风险均由供应商承担，涉及相关所产生的相关费用一律由成交单位承担。</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四、综合说明及其他要求：</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1、响应单位提供的服务能够至少达到采购文件要求，同时明确详细的服务内容。</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2、响应单位必须承诺文件中提出的全部要求，如果其中某些条款不响应时，应在文件中逐条列出，未列出的视同响应。</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3、响应单位应对所投项目的全部内容进行报价，只投其中部分内容者或出现选择性报价的，其响应文件将被拒绝。</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响应报价包括但不限于完成本项工作所需的的劳务支出、保险、配套费用、税费及服务相关等所发生的全部费用以及乙方企业利润、税金和政策性文件规定及合同包含的所有风险、责任等各项应有费用。同时，除非合同条款中另有规定，否则，响应单位所报价格在合同实施期间不。因市场变化因素而变动。根据现行税法对乙方征收的与本合同有关的一切税费均由乙方承担。</w:t>
      </w:r>
      <w:r/>
    </w:p>
    <w:p>
      <w:pPr>
        <w:ind w:firstLine="480"/>
        <w:spacing w:line="360" w:lineRule="auto"/>
        <w:widowControl/>
        <w:tabs>
          <w:tab w:val="left" w:pos="753" w:leader="none"/>
        </w:tabs>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、服务期限：</w:t>
      </w:r>
      <w:r>
        <w:rPr>
          <w:rFonts w:hint="eastAsia" w:asciiTheme="minorEastAsia" w:hAnsiTheme="minorEastAsia" w:eastAsiaTheme="minorEastAsia"/>
          <w:sz w:val="24"/>
          <w:szCs w:val="24"/>
        </w:rPr>
        <w:t xml:space="preserve">2年，具体以甲方通知为准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因中标单位管理不善，造成工作范围内的设施、设备等损坏的，由直接责任人赔偿，若直接责任人因故无法赔偿的，采购单位有权要求中标单位负责赔偿损失，情节严重的可终止合同甚至诉讼法律。如遇采购单位办公场所调整或迁移等重大情况，采购单位将提前一个月告知中标单位，合同内容经双方协商调整，调整不成的可提前终止。</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、投标单位单位必须按照《劳动法》及苏州市的有关规定配置工作人员数量，并支付工资、国假加班费和交纳正常的社会保险（最低工资标准根据采购单位所在地标准执行），不得安排工作人员超时限加班。</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8</w:t>
      </w:r>
      <w:r>
        <w:rPr>
          <w:rFonts w:hint="eastAsia" w:ascii="宋体" w:hAnsi="宋体" w:eastAsia="宋体" w:cs="宋体"/>
          <w:sz w:val="24"/>
          <w:szCs w:val="24"/>
          <w:lang w:val="zh-CN"/>
        </w:rPr>
        <w:t xml:space="preserve">、采购单位委派专门部门负责</w:t>
      </w:r>
      <w:r>
        <w:rPr>
          <w:rFonts w:hint="eastAsia" w:ascii="宋体" w:hAnsi="宋体" w:eastAsia="宋体" w:cs="宋体"/>
          <w:sz w:val="24"/>
          <w:szCs w:val="24"/>
        </w:rPr>
        <w:t xml:space="preserve">中标单位</w:t>
      </w:r>
      <w:r>
        <w:rPr>
          <w:rFonts w:hint="eastAsia" w:ascii="宋体" w:hAnsi="宋体" w:eastAsia="宋体" w:cs="宋体"/>
          <w:sz w:val="24"/>
          <w:szCs w:val="24"/>
          <w:lang w:val="zh-CN"/>
        </w:rPr>
        <w:t xml:space="preserve">日常工作的监管、协调、考核。</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采购单位与派驻人员不发生任何劳动和雇佣关系，派驻人员由</w:t>
      </w:r>
      <w:r>
        <w:rPr>
          <w:rFonts w:hint="eastAsia" w:ascii="宋体" w:hAnsi="宋体" w:eastAsia="宋体" w:cs="宋体"/>
          <w:sz w:val="24"/>
          <w:szCs w:val="24"/>
        </w:rPr>
        <w:t xml:space="preserve">中标单位</w:t>
      </w:r>
      <w:r>
        <w:rPr>
          <w:rFonts w:hint="eastAsia" w:ascii="宋体" w:hAnsi="宋体" w:eastAsia="宋体" w:cs="宋体"/>
          <w:sz w:val="24"/>
          <w:szCs w:val="24"/>
          <w:lang w:val="zh-CN"/>
        </w:rPr>
        <w:t xml:space="preserve">自行管理，</w:t>
      </w:r>
      <w:r>
        <w:rPr>
          <w:rFonts w:hint="eastAsia" w:ascii="宋体" w:hAnsi="宋体" w:eastAsia="宋体" w:cs="宋体"/>
          <w:sz w:val="24"/>
          <w:szCs w:val="24"/>
        </w:rPr>
        <w:t xml:space="preserve">中标单位</w:t>
      </w:r>
      <w:r>
        <w:rPr>
          <w:rFonts w:hint="eastAsia" w:ascii="宋体" w:hAnsi="宋体" w:eastAsia="宋体" w:cs="宋体"/>
          <w:sz w:val="24"/>
          <w:szCs w:val="24"/>
          <w:lang w:val="zh-CN"/>
        </w:rPr>
        <w:t xml:space="preserve">和派驻人员应遵守安全操作规章制度，若发生人身伤害等工伤事故，由</w:t>
      </w:r>
      <w:r>
        <w:rPr>
          <w:rFonts w:hint="eastAsia" w:ascii="宋体" w:hAnsi="宋体" w:eastAsia="宋体" w:cs="宋体"/>
          <w:sz w:val="24"/>
          <w:szCs w:val="24"/>
        </w:rPr>
        <w:t xml:space="preserve">中标单位</w:t>
      </w:r>
      <w:r>
        <w:rPr>
          <w:rFonts w:hint="eastAsia" w:ascii="宋体" w:hAnsi="宋体" w:eastAsia="宋体" w:cs="宋体"/>
          <w:sz w:val="24"/>
          <w:szCs w:val="24"/>
          <w:lang w:val="zh-CN"/>
        </w:rPr>
        <w:t xml:space="preserve">自负，与采购方无涉。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zh-CN"/>
        </w:rPr>
        <w:t xml:space="preserve">、投标单位可根据单位需要勘察现场，所发生的费用由投标单位自己承担，投标单位中标后，不得以不完全了解现场情况或其它任何理由向采购单位提出任何索赔或追加的要求，对此采购单位不承担任何责任并将不作任何答复与考虑。</w:t>
      </w:r>
      <w:r/>
    </w:p>
    <w:p>
      <w:pPr>
        <w:ind w:firstLine="518"/>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11、服务要求：供应商须为本项目提供每周7×24小时免费服务热线，紧急情况须在30分钟内响应到场；非紧急情况须在2小时内响应到场。</w:t>
      </w:r>
      <w:r/>
    </w:p>
    <w:p>
      <w:pPr>
        <w:ind w:firstLine="518"/>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t xml:space="preserve">、</w:t>
      </w:r>
      <w:r>
        <w:rPr>
          <w:rFonts w:hint="eastAsia" w:ascii="宋体" w:hAnsi="宋体" w:eastAsia="宋体" w:cs="宋体"/>
          <w:sz w:val="24"/>
          <w:szCs w:val="24"/>
        </w:rPr>
        <w:t xml:space="preserve">验收要求：标的物符合我国</w:t>
      </w:r>
      <w:r>
        <w:rPr>
          <w:rFonts w:hint="eastAsia" w:ascii="宋体" w:hAnsi="宋体" w:eastAsia="宋体" w:cs="宋体"/>
          <w:sz w:val="24"/>
          <w:szCs w:val="24"/>
        </w:rPr>
        <w:t xml:space="preserve">最新颁布的与之相关的质量技术规范与标准，并同时满足采购文件要求和供应商所作承诺。在供应商完成全部采购内容并交付验收时，采购人应当自标的物交付验收之日起七个工作日内组织验收，并在验收通过后出具一份验收合格报告以作为采购人的验收依据，但不作为有关标的物质量、规格、数量或性能的最终检验结果。供应商须在其响应文件中提供一份验收办法，但此标准不得对抗相关部门的验收和采购文件中的验收要求，未提供验收办法的响应文件将被视为非实质性响应。供应商对货物或服务缺陷不予更正，采购人有权另请其他单位更正，所发生的费用由供应商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中标单位必须保证全部响应资料的真实性，如有虚假或对采购文件所要求说明的情况故意隐瞒或虚报，视为不实质性响应采购文件，为无效响应。已中标的将取消中标资格，并重新组织采购，并按《中华人民共和国政府采购法》第七十七条“提供虚假材料谋取中标相关处理办法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14、如涉及分包：小型、微型企业不得分包或转包给大型、中型企业，中型企业不得分包或转包给大型企业。</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15、服务地点：采购单位指定地点。</w:t>
      </w:r>
      <w:r/>
    </w:p>
    <w:p>
      <w:pPr>
        <w:ind w:firstLine="480"/>
        <w:spacing w:line="360" w:lineRule="auto"/>
        <w:widowControl/>
        <w:tabs>
          <w:tab w:val="left" w:pos="753" w:leader="none"/>
        </w:tabs>
        <w:rPr>
          <w:rStyle w:val="769"/>
          <w:rFonts w:hint="eastAsia" w:ascii="宋体" w:hAnsi="宋体" w:eastAsia="宋体" w:cs="宋体"/>
          <w:sz w:val="24"/>
          <w:szCs w:val="24"/>
        </w:rPr>
      </w:pPr>
      <w:r>
        <w:rPr>
          <w:rFonts w:hint="eastAsia" w:ascii="宋体" w:hAnsi="宋体" w:eastAsia="宋体" w:cs="宋体"/>
          <w:sz w:val="24"/>
          <w:szCs w:val="24"/>
        </w:rPr>
        <w:t xml:space="preserve">16、付款方式：详见合同。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17、凡涉及招标文件的补充说明和修改，均以苏州市政府采购网公示的补充通知为准。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18"/>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693"/>
        <w:ind w:firstLine="1044"/>
        <w:rPr>
          <w:rFonts w:hint="eastAsia" w:hAnsi="宋体"/>
          <w:b/>
          <w:sz w:val="52"/>
          <w:szCs w:val="52"/>
        </w:rPr>
      </w:pPr>
      <w:r>
        <w:rPr>
          <w:rFonts w:hint="eastAsia" w:hAnsi="宋体"/>
          <w:b/>
          <w:sz w:val="52"/>
          <w:szCs w:val="52"/>
        </w:rPr>
      </w:r>
      <w:r/>
    </w:p>
    <w:p>
      <w:pPr>
        <w:rPr>
          <w:rFonts w:hint="eastAsia" w:ascii="宋体" w:hAnsi="宋体" w:eastAsia="宋体"/>
          <w:b/>
          <w:sz w:val="52"/>
          <w:szCs w:val="52"/>
        </w:rPr>
      </w:pPr>
      <w:r>
        <w:rPr>
          <w:rFonts w:hint="eastAsia" w:ascii="宋体" w:hAnsi="宋体" w:eastAsia="宋体"/>
          <w:b/>
          <w:sz w:val="52"/>
          <w:szCs w:val="52"/>
        </w:rPr>
      </w:r>
      <w:r/>
    </w:p>
    <w:p>
      <w:pPr>
        <w:pStyle w:val="693"/>
        <w:ind w:firstLine="1044"/>
        <w:rPr>
          <w:rFonts w:hint="eastAsia" w:hAnsi="宋体"/>
          <w:b/>
          <w:sz w:val="52"/>
          <w:szCs w:val="52"/>
        </w:rPr>
      </w:pPr>
      <w:r>
        <w:rPr>
          <w:rFonts w:hint="eastAsia" w:hAnsi="宋体"/>
          <w:b/>
          <w:sz w:val="52"/>
          <w:szCs w:val="52"/>
        </w:rPr>
      </w:r>
      <w:r/>
    </w:p>
    <w:p>
      <w:pPr>
        <w:rPr>
          <w:rFonts w:hint="eastAsia" w:ascii="宋体" w:hAnsi="宋体" w:eastAsia="宋体"/>
          <w:b/>
          <w:sz w:val="52"/>
          <w:szCs w:val="52"/>
        </w:rPr>
      </w:pPr>
      <w:r>
        <w:rPr>
          <w:rFonts w:hint="eastAsia" w:ascii="宋体" w:hAnsi="宋体" w:eastAsia="宋体"/>
          <w:b/>
          <w:sz w:val="52"/>
          <w:szCs w:val="52"/>
        </w:rPr>
      </w:r>
      <w:r/>
    </w:p>
    <w:p>
      <w:pPr>
        <w:pStyle w:val="693"/>
        <w:ind w:firstLine="1044"/>
        <w:rPr>
          <w:rFonts w:hint="eastAsia" w:hAnsi="宋体"/>
          <w:b/>
          <w:sz w:val="52"/>
          <w:szCs w:val="52"/>
        </w:rPr>
      </w:pPr>
      <w:r>
        <w:rPr>
          <w:rFonts w:hint="eastAsia" w:hAnsi="宋体"/>
          <w:b/>
          <w:sz w:val="52"/>
          <w:szCs w:val="52"/>
        </w:rPr>
      </w:r>
      <w:r/>
    </w:p>
    <w:p>
      <w:pPr>
        <w:rPr>
          <w:rFonts w:hint="eastAsia" w:ascii="宋体" w:hAnsi="宋体" w:eastAsia="宋体"/>
          <w:b/>
          <w:sz w:val="52"/>
          <w:szCs w:val="52"/>
        </w:rPr>
      </w:pPr>
      <w:r>
        <w:rPr>
          <w:rFonts w:hint="eastAsia" w:ascii="宋体" w:hAnsi="宋体" w:eastAsia="宋体"/>
          <w:b/>
          <w:sz w:val="52"/>
          <w:szCs w:val="52"/>
        </w:rPr>
      </w:r>
      <w:r/>
    </w:p>
    <w:p>
      <w:pPr>
        <w:pStyle w:val="693"/>
        <w:ind w:firstLine="1044"/>
        <w:rPr>
          <w:rFonts w:hint="eastAsia" w:hAnsi="宋体"/>
          <w:b/>
          <w:sz w:val="52"/>
          <w:szCs w:val="52"/>
        </w:rPr>
      </w:pPr>
      <w:r>
        <w:rPr>
          <w:rFonts w:hint="eastAsia" w:hAnsi="宋体"/>
          <w:b/>
          <w:sz w:val="52"/>
          <w:szCs w:val="52"/>
        </w:rPr>
      </w:r>
      <w:r/>
    </w:p>
    <w:p>
      <w:pPr>
        <w:rPr>
          <w:rFonts w:hint="eastAsia" w:ascii="宋体" w:hAnsi="宋体" w:eastAsia="宋体"/>
          <w:b/>
          <w:sz w:val="52"/>
          <w:szCs w:val="52"/>
        </w:rPr>
      </w:pPr>
      <w:r>
        <w:rPr>
          <w:rFonts w:hint="eastAsia" w:ascii="宋体" w:hAnsi="宋体" w:eastAsia="宋体"/>
          <w:b/>
          <w:sz w:val="52"/>
          <w:szCs w:val="52"/>
        </w:rPr>
      </w:r>
      <w:r/>
    </w:p>
    <w:p>
      <w:pPr>
        <w:numPr>
          <w:ilvl w:val="0"/>
          <w:numId w:val="3"/>
        </w:numPr>
        <w:ind w:firstLine="522"/>
        <w:jc w:val="center"/>
        <w:spacing w:line="360" w:lineRule="auto"/>
        <w:rPr>
          <w:rFonts w:hint="eastAsia" w:ascii="宋体" w:hAnsi="宋体" w:eastAsia="宋体"/>
          <w:b/>
          <w:sz w:val="52"/>
          <w:szCs w:val="52"/>
        </w:rPr>
      </w:pPr>
      <w:r>
        <w:rPr>
          <w:rFonts w:hint="eastAsia" w:ascii="宋体" w:hAnsi="宋体" w:eastAsia="宋体"/>
          <w:b/>
          <w:sz w:val="52"/>
          <w:szCs w:val="52"/>
        </w:rPr>
        <w:t xml:space="preserve">合同条款</w:t>
      </w:r>
      <w:r/>
    </w:p>
    <w:p>
      <w:pPr>
        <w:rPr>
          <w:rFonts w:hint="eastAsia" w:ascii="宋体" w:hAnsi="宋体" w:eastAsia="宋体"/>
        </w:rPr>
      </w:pPr>
      <w:r>
        <w:rPr>
          <w:rFonts w:hint="eastAsia" w:ascii="宋体" w:hAnsi="宋体" w:eastAsia="宋体"/>
        </w:rPr>
      </w:r>
      <w:r/>
    </w:p>
    <w:p>
      <w:pPr>
        <w:rPr>
          <w:rFonts w:hint="eastAsia" w:ascii="宋体" w:hAnsi="宋体" w:eastAsia="宋体" w:cs="宋体"/>
          <w:b/>
          <w:sz w:val="24"/>
          <w:szCs w:val="24"/>
        </w:rPr>
      </w:pPr>
      <w:r>
        <w:rPr>
          <w:rFonts w:hint="eastAsia" w:ascii="宋体" w:hAnsi="宋体" w:eastAsia="宋体" w:cs="宋体"/>
          <w:b/>
          <w:sz w:val="24"/>
          <w:szCs w:val="24"/>
        </w:rPr>
        <w:t xml:space="preserve">项目名称：                       </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项目编号：</w:t>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甲方（项目采购人）：</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rPr>
        <w:tab/>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乙方（成交供应商）：</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rPr>
        <w:tab/>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甲方所需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项目(项目名称)经</w:t>
      </w:r>
      <w:r>
        <w:rPr>
          <w:rFonts w:hint="eastAsia" w:ascii="宋体" w:hAnsi="宋体" w:eastAsia="宋体" w:cs="宋体"/>
          <w:sz w:val="24"/>
          <w:szCs w:val="24"/>
          <w:u w:val="single"/>
        </w:rPr>
        <w:t xml:space="preserve">苏州星创招投标咨询有限公司</w:t>
      </w:r>
      <w:r>
        <w:rPr>
          <w:rFonts w:hint="eastAsia" w:ascii="宋体" w:hAnsi="宋体" w:eastAsia="宋体" w:cs="宋体"/>
          <w:sz w:val="24"/>
          <w:szCs w:val="24"/>
        </w:rPr>
        <w:t xml:space="preserve">以竞争性磋商方式进行采购，并依法确定乙方为成交供应商。根据《中华人民共和国民法典》和《中华人民共和国政府采购法》等有关法律法规，为明确采购人（甲方）和成交供应商（乙方）采购过程中的权利、义务和经济责任，双方遵循平等、自愿、公平和诚实信用原则，经友好协商，同意按照下面的条款和条件订立本合同，以资共同遵守。</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一、合同文件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以下文件是构成本合同不可分割的部分：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（一）本项目采购文件；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（二）成交供应商响应文件；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（三）合同条款；</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（四）成交供应商做出的有关澄清、说明或者补正文件（若有）；</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（五）确定成交供应商的文件（包括但不限于成交通知书等）；</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（六）本合同附件（若有）。</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二、服务要求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本合同项下乙方所提供的服务内容为：详见采购文件中的采购需求。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三、合同金额</w:t>
      </w:r>
      <w:r/>
    </w:p>
    <w:p>
      <w:pPr>
        <w:ind w:firstLine="482"/>
        <w:spacing w:line="360" w:lineRule="auto"/>
        <w:rPr>
          <w:rFonts w:hint="eastAsia" w:ascii="宋体" w:hAnsi="宋体" w:eastAsia="宋体" w:cs="宋体"/>
          <w:b/>
          <w:sz w:val="24"/>
          <w:szCs w:val="24"/>
          <w:u w:val="single"/>
        </w:rPr>
      </w:pPr>
      <w:r/>
      <w:bookmarkStart w:id="44" w:name="_Hlk56427584"/>
      <w:r>
        <w:rPr>
          <w:rFonts w:hint="eastAsia" w:ascii="宋体" w:hAnsi="宋体" w:eastAsia="宋体" w:cs="宋体"/>
          <w:b/>
          <w:sz w:val="24"/>
          <w:szCs w:val="24"/>
        </w:rPr>
        <w:t xml:space="preserve">合同总金额为</w:t>
      </w:r>
      <w:r>
        <w:rPr>
          <w:rFonts w:hint="eastAsia" w:ascii="宋体" w:hAnsi="宋体" w:eastAsia="宋体" w:cs="宋体"/>
          <w:b/>
          <w:sz w:val="24"/>
          <w:szCs w:val="24"/>
          <w:u w:val="single"/>
        </w:rPr>
        <w:t xml:space="preserve">人民币          元，大写：        。</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合同金额</w:t>
      </w:r>
      <w:r>
        <w:rPr>
          <w:rFonts w:ascii="宋体" w:hAnsi="宋体" w:eastAsia="宋体"/>
          <w:b/>
          <w:bCs/>
          <w:sz w:val="24"/>
          <w:szCs w:val="24"/>
        </w:rPr>
        <w:t xml:space="preserve">包括</w:t>
      </w:r>
      <w:r>
        <w:rPr>
          <w:rFonts w:hint="eastAsia" w:ascii="宋体" w:hAnsi="宋体" w:eastAsia="宋体" w:cs="宋体"/>
          <w:b/>
          <w:bCs/>
          <w:sz w:val="24"/>
          <w:szCs w:val="24"/>
        </w:rPr>
        <w:t xml:space="preserve">完成所有采购内容以及本项目所需的劳务支出、保险、配套费用、税费及服务相关等所发生的全部费用以及乙方企业利润、税金和政策性文件规定及合同包含的所有风险、责任等各项应有费用</w:t>
      </w:r>
      <w:r>
        <w:rPr>
          <w:rFonts w:hint="eastAsia" w:ascii="宋体" w:hAnsi="宋体" w:eastAsia="宋体"/>
          <w:b/>
          <w:bCs/>
          <w:sz w:val="24"/>
          <w:szCs w:val="24"/>
        </w:rPr>
        <w:t xml:space="preserve">。</w:t>
      </w:r>
      <w:r>
        <w:rPr>
          <w:rFonts w:ascii="宋体" w:hAnsi="宋体" w:eastAsia="宋体"/>
          <w:b/>
          <w:bCs/>
          <w:sz w:val="24"/>
          <w:szCs w:val="24"/>
        </w:rPr>
        <w:t xml:space="preserve">除非因特殊原因并经买卖双方协商同意，</w:t>
      </w:r>
      <w:r>
        <w:rPr>
          <w:rFonts w:hint="eastAsia" w:ascii="宋体" w:hAnsi="宋体" w:eastAsia="宋体"/>
          <w:b/>
          <w:bCs/>
          <w:sz w:val="24"/>
          <w:szCs w:val="24"/>
        </w:rPr>
        <w:t xml:space="preserve">乙方</w:t>
      </w:r>
      <w:r>
        <w:rPr>
          <w:rFonts w:ascii="宋体" w:hAnsi="宋体" w:eastAsia="宋体"/>
          <w:b/>
          <w:bCs/>
          <w:sz w:val="24"/>
          <w:szCs w:val="24"/>
        </w:rPr>
        <w:t xml:space="preserve">不得再要求追加任何费用。同时，除非合同条款中另有规定，否则，</w:t>
      </w:r>
      <w:r>
        <w:rPr>
          <w:rFonts w:hint="eastAsia" w:ascii="宋体" w:hAnsi="宋体" w:eastAsia="宋体"/>
          <w:b/>
          <w:bCs/>
          <w:sz w:val="24"/>
          <w:szCs w:val="24"/>
        </w:rPr>
        <w:t xml:space="preserve">乙方</w:t>
      </w:r>
      <w:r>
        <w:rPr>
          <w:rFonts w:ascii="宋体" w:hAnsi="宋体" w:eastAsia="宋体"/>
          <w:b/>
          <w:bCs/>
          <w:sz w:val="24"/>
          <w:szCs w:val="24"/>
        </w:rPr>
        <w:t xml:space="preserve">所报价格在合同实施期间不因市场变化因素而变动。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四、付款约定</w:t>
      </w:r>
      <w:bookmarkEnd w:id="44"/>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1、甲方根据乙方在本合同中所提供银行开户信息转账支付。</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乙方开户名称：</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开户银行：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银行账号：</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甲方每次付款前，乙方均应当向甲方开具等额、合法的发票，否则甲方有权延迟付款且无须承担任何责任。乙方银行账户如需变更，应至少于付款期限届满前10个工作日书面通知甲方，否则产生的一切责任、因变更引起的额外费用由乙方承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2、付款步骤：</w:t>
      </w:r>
      <w:r>
        <w:rPr>
          <w:rFonts w:hint="eastAsia" w:ascii="宋体" w:hAnsi="宋体" w:eastAsia="宋体"/>
          <w:sz w:val="24"/>
          <w:szCs w:val="24"/>
        </w:rPr>
        <w:t xml:space="preserve">合同生效后，由甲方在十五个工作日内向乙方支付合同金额的10％作为预付款；之后每服务满3个月且乙方无违约情形，由甲方在十五个工作日内向乙方支付合同金额的22.5％,最后3个月的款项需项目服务期满且通过甲方验收后十五个工作日内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3、付款方式：银行汇票或转账。</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五、服务履行地点、期限</w:t>
      </w:r>
      <w:r/>
    </w:p>
    <w:p>
      <w:pPr>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1、服务履行地点：</w:t>
      </w:r>
      <w:r>
        <w:rPr>
          <w:rFonts w:hint="eastAsia" w:ascii="宋体" w:hAnsi="宋体" w:eastAsia="宋体" w:cs="宋体"/>
          <w:bCs/>
          <w:sz w:val="24"/>
          <w:szCs w:val="24"/>
        </w:rPr>
        <w:t xml:space="preserve">甲方指定地点</w:t>
      </w:r>
      <w:r>
        <w:rPr>
          <w:rFonts w:hint="eastAsia" w:ascii="宋体" w:hAnsi="宋体" w:eastAsia="宋体" w:cs="宋体"/>
          <w:bCs/>
          <w:sz w:val="24"/>
          <w:szCs w:val="24"/>
          <w:lang w:val="zh-CN"/>
        </w:rPr>
        <w:t xml:space="preserve">。</w:t>
      </w:r>
      <w:r/>
    </w:p>
    <w:p>
      <w:pPr>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2、服务期限：</w:t>
      </w:r>
      <w:r>
        <w:rPr>
          <w:rFonts w:hint="eastAsia" w:ascii="宋体" w:hAnsi="宋体" w:eastAsia="宋体" w:cs="宋体"/>
          <w:sz w:val="24"/>
          <w:szCs w:val="24"/>
          <w:shd w:val="clear" w:color="auto" w:fill="ffffff"/>
        </w:rPr>
        <w:t xml:space="preserve">在合同生效后，自采购人要求的服务时间起贰年，按24个月计。</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六、验收</w:t>
      </w:r>
      <w:r/>
    </w:p>
    <w:p>
      <w:p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本</w:t>
      </w:r>
      <w:r>
        <w:rPr>
          <w:rFonts w:hint="eastAsia" w:ascii="宋体" w:hAnsi="宋体" w:eastAsia="宋体" w:cs="宋体"/>
          <w:sz w:val="24"/>
          <w:szCs w:val="24"/>
        </w:rPr>
        <w:t xml:space="preserve">项目完成后，乙方通知甲方组织验收。</w:t>
      </w:r>
      <w:r>
        <w:rPr>
          <w:rFonts w:hint="eastAsia" w:ascii="宋体" w:hAnsi="宋体" w:eastAsia="宋体" w:cs="宋体"/>
          <w:bCs/>
          <w:sz w:val="24"/>
          <w:szCs w:val="24"/>
        </w:rPr>
        <w:t xml:space="preserve">具体验收时间等以招标文件规定或合同约定为准。</w:t>
      </w:r>
      <w:r/>
    </w:p>
    <w:p>
      <w:p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2、验收标准：按照招标文件中规定的采购内容和需求及乙方承诺的其他指标进行验收，验收标准必须符合相关国家、省、市标准。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3、任一项验收不合格的，乙方应负责在甲方限定的期限内完成整改，因整改而导致的费用和损失由乙方自行承担，若导致项目逾期的，乙方承担逾期违约责任。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4、甲方所有验收意见将以书面形式做出并加盖甲方公章，因此除非甲方书面明示通过验收，否则任何其他行为均不代表甲方已验收合格。</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七、服务质量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1、乙方应保证提供给甲方的服务完全符合本项目采购文件规定的服务标准。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3、乙方保证提供的服务符合中华人民共和国国家及行业的安全质量标准、环保标准中之较高者。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pStyle w:val="666"/>
        <w:ind w:left="520" w:firstLine="520"/>
        <w:spacing w:line="360" w:lineRule="auto"/>
        <w:rPr>
          <w:rFonts w:hint="eastAsia" w:ascii="宋体" w:hAnsi="宋体" w:eastAsia="宋体" w:cs="宋体"/>
          <w:bCs/>
          <w:szCs w:val="24"/>
        </w:rPr>
      </w:pPr>
      <w:r>
        <w:rPr>
          <w:rFonts w:hint="eastAsia" w:ascii="宋体" w:hAnsi="宋体" w:eastAsia="宋体" w:cs="宋体"/>
          <w:bCs/>
          <w:szCs w:val="24"/>
        </w:rPr>
        <w:t xml:space="preserve">6、乙方应保证做好安全生产培训，人员在工作期间所产生的一切劳资、工伤纠纷及各类安全事故，皆由乙方全权负责并承担，与甲方不发生任何关系。属地管理单位要求乙方做超过工作范围之外的工作，由属地管理单位和乙方协商，与本合同巡查外包服务范围无关，与甲方无关，乙方不得要求甲方为此承担费用和责任。</w:t>
      </w:r>
      <w:r/>
    </w:p>
    <w:p>
      <w:pPr>
        <w:pStyle w:val="666"/>
        <w:ind w:left="520" w:firstLine="520"/>
        <w:spacing w:line="360" w:lineRule="auto"/>
        <w:rPr>
          <w:rFonts w:hint="eastAsia" w:ascii="宋体" w:hAnsi="宋体" w:eastAsia="宋体" w:cs="宋体"/>
          <w:bCs/>
          <w:szCs w:val="24"/>
        </w:rPr>
      </w:pPr>
      <w:r>
        <w:rPr>
          <w:rFonts w:hint="eastAsia" w:ascii="宋体" w:hAnsi="宋体" w:eastAsia="宋体" w:cs="宋体"/>
          <w:bCs/>
          <w:szCs w:val="24"/>
        </w:rPr>
        <w:t xml:space="preserve">7、乙方保证合同履行过程中，乙方原因致使第三人（包括但不限于甲方工作人员、乙方工作人员及其他任意第三人）遭受人身损害、财产损失的，</w:t>
      </w:r>
      <w:r>
        <w:rPr>
          <w:rFonts w:hint="eastAsia" w:ascii="宋体" w:hAnsi="宋体" w:eastAsia="宋体" w:cs="宋体"/>
          <w:szCs w:val="24"/>
          <w:lang w:bidi="ar"/>
        </w:rPr>
        <w:t xml:space="preserve">均由乙方负责处理并承担全部赔偿责任。甲方因此产生的损失，甲方有权向乙方全额追偿。</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八、履约保证金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本项目：</w:t>
      </w:r>
      <w:r>
        <w:rPr>
          <w:rFonts w:ascii="Wingdings 2" w:hAnsi="Wingdings 2" w:eastAsia="Wingdings 2" w:cs="Wingdings 2"/>
          <w:bCs/>
          <w:sz w:val="24"/>
          <w:szCs w:val="24"/>
        </w:rPr>
        <w:t xml:space="preserve">R</w:t>
      </w:r>
      <w:r>
        <w:rPr>
          <w:rFonts w:hint="eastAsia" w:ascii="宋体" w:hAnsi="宋体" w:eastAsia="宋体" w:cs="宋体"/>
          <w:bCs/>
          <w:sz w:val="24"/>
          <w:szCs w:val="24"/>
        </w:rPr>
        <w:t xml:space="preserve">不要求提交履约保证金</w:t>
      </w:r>
      <w:r/>
    </w:p>
    <w:p>
      <w:pPr>
        <w:ind w:firstLine="480"/>
        <w:spacing w:line="360" w:lineRule="auto"/>
        <w:rPr>
          <w:rFonts w:hint="eastAsia" w:ascii="宋体" w:hAnsi="宋体" w:eastAsia="宋体" w:cs="宋体"/>
          <w:bCs/>
          <w:sz w:val="24"/>
          <w:szCs w:val="24"/>
        </w:rPr>
      </w:pPr>
      <w:r>
        <w:rPr>
          <w:rFonts w:ascii="Wingdings 2" w:hAnsi="Wingdings 2" w:eastAsia="Wingdings 2" w:cs="Wingdings 2"/>
          <w:bCs/>
          <w:sz w:val="24"/>
          <w:szCs w:val="24"/>
        </w:rPr>
        <w:t xml:space="preserve">£</w:t>
      </w:r>
      <w:r>
        <w:rPr>
          <w:rFonts w:hint="eastAsia" w:ascii="宋体" w:hAnsi="宋体" w:eastAsia="宋体" w:cs="宋体"/>
          <w:bCs/>
          <w:sz w:val="24"/>
          <w:szCs w:val="24"/>
        </w:rPr>
        <w:t xml:space="preserve">要求提交履约保证金，金额：合同金额的10%，要求如下：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1、在签订合同前，供应商应当以支票、汇票、本票或者金融机构、担保机构出具的保函等非现金形式提交。联合体成交的，其履约保证金以联合体各方或者联合体中牵头人的名义提交。</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2、乙方无故拖延或拒不提交履约保证金的，视为拒绝与甲方签订合同。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3、履约保证金将在乙方合同履行完毕且验收合格后，甲方在五个工作日内退返乙方。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九、违约责任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1、甲方违约责任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（1）在合同生效后，甲方无故要求终止服务的，应向乙方偿付合同总价款的5%，作为违约金，违约金不足以补偿损失的，乙方有权要求甲方补足。</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（2）甲方逾期付款的应按照逾期付款金额的每天万分之一支付逾期付款违约金。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（3）甲方违反合同约定，拒绝接受乙方交付的合格服务的，应当承担乙方由此造成的损失。</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2、乙方违约责任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（1）乙方不能服务（逾期超过24小时视为不能服务），或服务不合格从而影响甲方按期正常使用的，甲方有权解除合同，乙方向甲方赔偿合同总价款20%的违约金，违约金不足以补偿损失的甲方有权要求乙方补足。</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（2）乙方逾期提供服务的，应在服务前与甲方和招标代理协商，甲方仍需求的，乙方应立即提供服务并应按照合同金额的每天万分之四支付逾期服务违约金，同时承担甲方因此遭致的损失费用。</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3、如果出现政府采购监管部门在处理投诉事项期间，通知甲方暂停采购活动的情形，或者询问或质疑事项可能影响最终成交结果的，导致甲方终止履行合同的情形，均不视为甲方违约。</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十、合同的解除和转让</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1、甲方和乙方协商一致，可以解除合同，并报政府采购监管部门审查备案。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2、有下列情形之一，合同一方可以解除合同：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（1）因不可抗力致使不能实现合同目的；</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（2）采购文件约定的解除合同的情形。</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3、政府采购合同继续履行将损害国家利益和社会公共利益，甲方有权变更、中止或者终止、解除合同。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乙方提交的投标材料虚假，或者乙方故意隐瞒足以导致不能中标的事实被发现的，甲方可以单方解除本合同，要求乙方支付合同总价款20%的违约金，由此造成甲方的损失由乙方承担赔偿（包括但不限于诉讼费、合理律师费等），且乙方无权要求返还履约保证金（如有）。</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本合同不得以任何形式转让，否则视为乙方违约，甲方可以单方解除本合同，要求乙方支付合同总价款20%的违约金，由此造成甲方的损失由乙方承担赔偿（包括但不限于诉讼费、合理律师费等），且乙方无权要求返还履约保证金（如有）。</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本合同未经甲方书面同意不得分包，否则视为乙方违约，甲方可以单方解除本合同，要求乙方支付合同总价款20%的违约金，由此造成甲方的损失由乙方承担赔偿（包括但不限于诉讼费、合理律师费等），且乙方无权要求返还履约保证金（如有）。</w:t>
      </w:r>
      <w:r/>
    </w:p>
    <w:p>
      <w:pPr>
        <w:pStyle w:val="693"/>
        <w:ind w:firstLine="420"/>
      </w:pPr>
      <w:r>
        <w:rPr>
          <w:rFonts w:hint="eastAsia" w:hAnsi="宋体"/>
          <w:szCs w:val="24"/>
        </w:rPr>
        <w:t xml:space="preserve">7、有权解除合同的一方，应当在违约事实或不可抗力发生之后书面通知对方以主张解除合同，合同在书面通知到达对方时解除。</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十一、不可抗力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1、不可抗力指下列事件：战争、动乱、瘟疫、严重火灾、洪水、政府命令、地震、风暴或其他自然灾害，以及本合同各方不可预见、不可防止并不能避免或克服的一切其他因素及事件。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本合同在执行过程中如遇政府征用土地或其他甲方不能预见的情形发生致使本合同无法履行，应视为不可抗力事件，甲方免责。本合同终止后甲方应支付乙方实际履行时间（天数）的服务款项（单价不予调整）。</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十二、保密条款</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1、任何一方对其获知的本合同及附件中其他各方的商业秘密和国家秘密等非公开信息负有保密义务。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十三、联系方式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3、上述发出通知、回复的费用由发出一方承担。</w:t>
      </w:r>
      <w:r/>
    </w:p>
    <w:p>
      <w:pPr>
        <w:ind w:firstLine="482"/>
        <w:spacing w:line="360" w:lineRule="auto"/>
        <w:rPr>
          <w:rFonts w:hint="eastAsia" w:ascii="宋体" w:hAnsi="宋体" w:eastAsia="宋体" w:cs="宋体"/>
          <w:b/>
          <w:sz w:val="24"/>
          <w:szCs w:val="24"/>
        </w:rPr>
      </w:pPr>
      <w:r/>
      <w:bookmarkStart w:id="45" w:name="_Toc32454"/>
      <w:r/>
      <w:bookmarkStart w:id="46" w:name="_Toc18683"/>
      <w:r/>
      <w:bookmarkStart w:id="47" w:name="_Toc9497"/>
      <w:r/>
      <w:bookmarkStart w:id="48" w:name="_Toc51257766"/>
      <w:r/>
      <w:bookmarkStart w:id="49" w:name="_Toc30329"/>
      <w:r/>
      <w:bookmarkStart w:id="50" w:name="_Toc26807"/>
      <w:r>
        <w:rPr>
          <w:rFonts w:hint="eastAsia" w:ascii="宋体" w:hAnsi="宋体" w:eastAsia="宋体" w:cs="宋体"/>
          <w:b/>
          <w:sz w:val="24"/>
          <w:szCs w:val="24"/>
        </w:rPr>
        <w:t xml:space="preserve">十四、争议的解决</w:t>
      </w:r>
      <w:bookmarkEnd w:id="45"/>
      <w:r/>
      <w:bookmarkEnd w:id="46"/>
      <w:r/>
      <w:bookmarkEnd w:id="47"/>
      <w:r/>
      <w:bookmarkEnd w:id="48"/>
      <w:r/>
      <w:bookmarkEnd w:id="49"/>
      <w:r/>
      <w:bookmarkEnd w:id="50"/>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与本合同有关的一切争议，双方应通过友好协商解决。如果经协商不能达成协议，可以向甲方所在地有管辖权的人民法院起诉。</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十五、合同生效及其他</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1、本合同经甲乙双方签章之日起生效。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本合同系指本文件及其附件中的所有部分，采购文件、成交的响应文件、成交通知书、供应商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3、本合同壹式肆份，甲乙双方各执壹份，招标代理机构执贰份，具有同等法律效力。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4、本合同应按照中华人民共和国的现行法律进行解释。</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    方(公章)：                            乙    方(公章)：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法定代表人/负责人：                   法定代表人/负责人：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或授权代理人                          或授权代理人：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                              （签字）</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签订日期：</w:t>
      </w:r>
      <w:r/>
    </w:p>
    <w:p>
      <w:pPr>
        <w:pStyle w:val="666"/>
        <w:ind w:left="520"/>
        <w:rPr>
          <w:rFonts w:hint="eastAsia" w:ascii="宋体" w:hAnsi="宋体" w:eastAsia="宋体"/>
          <w:sz w:val="52"/>
        </w:rPr>
      </w:pPr>
      <w:r>
        <w:rPr>
          <w:rFonts w:hint="eastAsia" w:ascii="宋体" w:hAnsi="宋体" w:eastAsia="宋体"/>
          <w:sz w:val="52"/>
        </w:rPr>
      </w:r>
      <w:r/>
    </w:p>
    <w:p>
      <w:pPr>
        <w:rPr>
          <w:rFonts w:hint="eastAsia" w:ascii="宋体" w:hAnsi="宋体" w:eastAsia="宋体"/>
          <w:sz w:val="52"/>
        </w:rPr>
      </w:pPr>
      <w:r>
        <w:rPr>
          <w:rFonts w:hint="eastAsia" w:ascii="宋体" w:hAnsi="宋体" w:eastAsia="宋体"/>
          <w:sz w:val="52"/>
        </w:rPr>
      </w:r>
      <w:r/>
    </w:p>
    <w:p>
      <w:pPr>
        <w:pStyle w:val="666"/>
        <w:ind w:left="520"/>
        <w:rPr>
          <w:rFonts w:hint="eastAsia" w:ascii="宋体" w:hAnsi="宋体" w:eastAsia="宋体"/>
          <w:sz w:val="52"/>
        </w:rPr>
      </w:pPr>
      <w:r>
        <w:rPr>
          <w:rFonts w:hint="eastAsia" w:ascii="宋体" w:hAnsi="宋体" w:eastAsia="宋体"/>
          <w:sz w:val="52"/>
        </w:rPr>
      </w:r>
      <w:r/>
    </w:p>
    <w:p>
      <w:pPr>
        <w:pStyle w:val="666"/>
        <w:ind w:left="520"/>
        <w:rPr>
          <w:rFonts w:hint="eastAsia" w:ascii="宋体" w:hAnsi="宋体" w:eastAsia="宋体"/>
          <w:sz w:val="52"/>
        </w:rPr>
      </w:pPr>
      <w:r>
        <w:rPr>
          <w:rFonts w:hint="eastAsia" w:ascii="宋体" w:hAnsi="宋体" w:eastAsia="宋体"/>
          <w:sz w:val="52"/>
        </w:rPr>
      </w:r>
      <w:r/>
    </w:p>
    <w:p>
      <w:pPr>
        <w:pStyle w:val="666"/>
        <w:ind w:left="520"/>
        <w:rPr>
          <w:rFonts w:hint="eastAsia" w:ascii="宋体" w:hAnsi="宋体" w:eastAsia="宋体"/>
          <w:sz w:val="52"/>
        </w:rPr>
      </w:pPr>
      <w:r>
        <w:rPr>
          <w:rFonts w:hint="eastAsia" w:ascii="宋体" w:hAnsi="宋体" w:eastAsia="宋体"/>
          <w:sz w:val="52"/>
        </w:rPr>
      </w:r>
      <w:r/>
    </w:p>
    <w:p>
      <w:pPr>
        <w:pStyle w:val="666"/>
        <w:ind w:left="520"/>
        <w:rPr>
          <w:rFonts w:hint="eastAsia" w:ascii="宋体" w:hAnsi="宋体" w:eastAsia="宋体"/>
          <w:sz w:val="52"/>
        </w:rPr>
      </w:pPr>
      <w:r>
        <w:rPr>
          <w:rFonts w:hint="eastAsia" w:ascii="宋体" w:hAnsi="宋体" w:eastAsia="宋体"/>
          <w:sz w:val="52"/>
        </w:rPr>
      </w:r>
      <w:r/>
    </w:p>
    <w:p>
      <w:pPr>
        <w:pStyle w:val="653"/>
        <w:ind w:firstLine="442"/>
        <w:jc w:val="center"/>
        <w:rPr>
          <w:rFonts w:hint="eastAsia" w:ascii="宋体" w:hAnsi="宋体" w:eastAsia="宋体" w:cs="宋体"/>
        </w:rPr>
      </w:pPr>
      <w:r/>
      <w:bookmarkStart w:id="51" w:name="_Toc21264"/>
      <w:r/>
      <w:bookmarkStart w:id="52" w:name="_Toc5091"/>
      <w:r>
        <w:rPr>
          <w:rFonts w:hint="eastAsia" w:ascii="宋体" w:hAnsi="宋体" w:eastAsia="宋体" w:cs="宋体"/>
        </w:rPr>
        <w:t xml:space="preserve">第六章 评</w:t>
      </w:r>
      <w:bookmarkEnd w:id="43"/>
      <w:r>
        <w:rPr>
          <w:rFonts w:hint="eastAsia" w:ascii="宋体" w:hAnsi="宋体" w:eastAsia="宋体" w:cs="宋体"/>
        </w:rPr>
        <w:t xml:space="preserve">审办法</w:t>
      </w:r>
      <w:bookmarkEnd w:id="51"/>
      <w:r/>
      <w:bookmarkEnd w:id="52"/>
      <w:r/>
      <w:r/>
    </w:p>
    <w:p>
      <w:pPr>
        <w:ind w:firstLine="420"/>
        <w:spacing w:line="360" w:lineRule="auto"/>
        <w:rPr>
          <w:rFonts w:hint="eastAsia" w:ascii="宋体" w:hAnsi="宋体" w:eastAsia="宋体" w:cs="宋体"/>
          <w:sz w:val="24"/>
          <w:szCs w:val="24"/>
        </w:rPr>
      </w:pPr>
      <w:r>
        <w:rPr>
          <w:rFonts w:hint="eastAsia" w:ascii="宋体" w:hAnsi="宋体" w:eastAsia="宋体" w:cs="宋体"/>
          <w:sz w:val="24"/>
        </w:rPr>
        <w:t xml:space="preserve">一、</w:t>
      </w:r>
      <w:r>
        <w:rPr>
          <w:rFonts w:hint="eastAsia" w:ascii="宋体" w:hAnsi="宋体" w:eastAsia="宋体" w:cs="宋体"/>
          <w:sz w:val="24"/>
          <w:szCs w:val="24"/>
        </w:rPr>
        <w:t xml:space="preserve">评标办法：</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1、评价和比较采用综合评分法，即在全部满足招标文件实质性要求前提下，按照招标文件规定的各项因素进行综合评审后，以评标总得分最高的投标人作为中标候选人或中标人。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2、评标委员会各成员独立对每个进入打分程序的有效投标人的标书技术部分以打分的形式进行评审和评价（计算结果均四舍五入保留两位小数）。</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3、对评委的评分（除价格分外）进行统计汇总，直接算术平均计算出每个投标人的得分，加上价格得分即为每个投标人的综合得分。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4、如出现评标总得分最高的投标人有两个或两个以上的，以投标报价较低者优先作为中标候选人，如果投标报价也相同的，则由评标委员会织以抽签方式确定中标候选人。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二、评分标准：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（一）价格得分（10分）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第一步：磋商报价低于或等于财政预算价格的，为有效磋商报价。超出财政预算的磋商报价文件为未实质性响应文件，不参与评审。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第二步：以满足采购文件实质性要求且响应价格最低的有效报价为评标基准价，其价格分为满分，其他有效报价的价格分统一按照下列公式计算（计算结果四舍五入保留两位小数）：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磋商报价得分=（磋商基准价/最后磋商报价）×价格权值×100%</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（二）技术及其他分值：90分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1、对项目服务方案的评价（56分）：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针对本项目提供切实可行的变电所智能化运维方案（8分）：由评委根据响应文件进行打分，方案合理详细科学具有可操作性得8分，方案比较合理详细，具有一定可操作性得6分，方案内容一般且可操作性一般得4分，其余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针对本项目提供切实可行的线下运维巡检方案（8分）：由评委根据响应文件进行打分，方案合理详细科学具有可操作性得8分，方案比较合理详细，具有一定可操作性得6分，方案内容一般且可操作性一般得4分，其余情况不得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3）针对本项目提供切实可行的线下运维抢修服务方案，须至少包含抢修时间承诺以及满足该承诺的抢修驻点的说明和证明（含驻点位置、房屋所有权证或租赁证明、地图导航截图证明）（8分）：由评委根据响应文件进行打分，方案合理详细科学具有可操作性得8分，方案比较合理详细，具有一定可操作性得6分，方案内容一般且可操作性一般得4分，其余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针对本项目提供切实可行的年度停电检修保养计划（8分）：由评委根据响应文件进行打分，方案合理详细科学具有可操作性得8分，方案比较合理详细，具有一定可操作性得6分，方案内容一般且可操作性一般得4分，其余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针对本项目提供维保期间的服务方案（8分）：由评委根据响应文件进行打分，方案合理详细科学具有可操作性得8分，方案比较合理详细，具有一定可操作性得6分，方案内容一般且可操作性一般得4分，其余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根据投标人提供的运维质控检查应急预案有效性、完整性评分，应急预案是否对维保期间如出现严重影响系统运行和数据质量的重大问题时，是否具备有效的措施，并制定了异常数据监控制度和处理处置方法（8分）：应急预案考虑细节点全面，各项措施、制度、处理方法有效、可操作性强的得8分；细节点较全面，措施较有效、较可行的得6分，细节点基本全面、措施基本可行的得4分，不提供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针对本项目提供切实可行的项目质量保障、安全保障方案（8分）：由评委根据响应文件进行打分，方案合理详细科学具有可操作性得8分，方案比较合理详细，具有一定可操作性得6分，方案内容一般且可操作性一般得4分，其余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2、电力系统远程监控平台软件系统功能（10分）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图片（软件系统截图）和文字形式对供应商电力系统远程监控平台软件系统功能进行功能展示及说明。展示内容须包括：监控系统（含电力相关参数）；档案管理（含设备信息等）；用户报告（含变电站概况、用电分析、事件统计）；巡检记录；缺陷记录；发布任务；设备控制；异常报警。本项最高10分，功能要求全部包括其中且展示清晰的得10分，功能要求部分包括的得7分，上述内容缺失、与项目实际不符或未提供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3、对拟投入本项目的人员配置评价（9分）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（1）拟投入本项目的项目负责人具备大专及以上学历证书的得3分，须在其响应文件中提供上述证书复印件，否则不得分。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拟投入本项目的维护服务人员（项目负责人除外）具备高压电工作业证的，每人1分，最高6分，须在其响应文件中提供上述证书复印件及由供应商为其缴纳的最近3个月的社保缴纳证明（须有人员姓名并盖社保部门章，非补缴），否则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4、对供应商综合情况的评价（15分）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（1）提供项目主要元器件清单（以下产品）针对本项目的备品备件供应保障证明：框架式断路器；塑壳式断路器；电容器；每类2分，最高6分。供应商应保证在响应文件提供的上述证明资料复印件可清晰辨识。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具备在有效期内的：质量管理体系认证证书的得1分；环境管理体系认证证书的得1分；职业健康安全管理体系认证证书的得1分。本项最高3分，上述证书覆盖范围应与本项目相关且须提供中国国家认证认可监督管理委员会网站查询页面完整截图，否则对应内容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（3）提供自2022年至今（以合同签订日期为准）由供应商独立承担（非联合体）的类似项目业绩，每份2分，最高6分，须在其响应文件中同时提供对应项目合同扫描件，否则对应内容不得分。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1、付款步骤、服务期限如有负偏离的不得中标。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针对评分标准中评分的每一条，各供应商须在投标文件中提供相关资料供评委评判，不提供相关资料的视为不具备该项得分的条件。投标人均针对评分内容提供对应材料并作出相关说明，所提供的相关材料缺失、不符或不提供者，有关评分内容不得分。</w:t>
      </w:r>
      <w:r/>
    </w:p>
    <w:p>
      <w:pPr>
        <w:pStyle w:val="725"/>
        <w:ind w:firstLine="480"/>
        <w:spacing w:line="360" w:lineRule="auto"/>
        <w:tabs>
          <w:tab w:val="left" w:pos="0" w:leader="none"/>
        </w:tabs>
        <w:rPr>
          <w:rFonts w:hint="eastAsia" w:ascii="宋体" w:hAnsi="宋体" w:cs="宋体"/>
          <w:bCs/>
          <w:sz w:val="24"/>
        </w:rPr>
      </w:pPr>
      <w:r>
        <w:rPr>
          <w:rFonts w:hint="eastAsia" w:ascii="宋体" w:hAnsi="宋体" w:cs="宋体"/>
          <w:bCs/>
          <w:sz w:val="24"/>
        </w:rPr>
      </w:r>
      <w:r/>
    </w:p>
    <w:p>
      <w:pPr>
        <w:ind w:right="960"/>
        <w:jc w:val="right"/>
        <w:spacing w:line="360" w:lineRule="auto"/>
      </w:pPr>
      <w:r>
        <w:rPr>
          <w:rFonts w:hint="eastAsia" w:ascii="宋体" w:hAnsi="宋体" w:eastAsia="宋体"/>
          <w:sz w:val="24"/>
          <w:szCs w:val="24"/>
        </w:rPr>
        <w:t xml:space="preserve">（全文完）</w:t>
      </w:r>
      <w:bookmarkEnd w:id="53"/>
      <w:r/>
    </w:p>
    <w:sectPr>
      <w:headerReference w:type="default" r:id="rId9"/>
      <w:footerReference w:type="default" r:id="rId10"/>
      <w:footnotePr/>
      <w:endnotePr/>
      <w:type w:val="nextPage"/>
      <w:pgSz w:w="11906" w:h="16838" w:orient="portrait"/>
      <w:pgMar w:top="1417" w:right="1417" w:bottom="1417"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75725"/>
      <w:rPr/>
    </w:sdtPr>
    <w:sdtContent>
      <w:p>
        <w:pPr>
          <w:pStyle w:val="673"/>
          <w:ind w:firstLine="180"/>
          <w:jc w:val="center"/>
        </w:pPr>
        <w:r>
          <w:fldChar w:fldCharType="begin"/>
        </w:r>
        <w:r>
          <w:instrText xml:space="preserve"> PAGE   \* MERGEFORMAT </w:instrText>
        </w:r>
        <w:r>
          <w:fldChar w:fldCharType="separate"/>
        </w:r>
        <w:r>
          <w:rPr>
            <w:lang w:val="zh-CN"/>
          </w:rPr>
          <w:t xml:space="preserve">57</w:t>
        </w:r>
        <w:r>
          <w:rPr>
            <w:lang w:val="zh-CN"/>
          </w:rPr>
          <w:fldChar w:fldCharType="end"/>
        </w:r>
        <w:r/>
      </w:p>
    </w:sdtContent>
  </w:sdt>
  <w:p>
    <w:pPr>
      <w:ind w:firstLine="2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6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9"/>
  </w:num>
  <w:num w:numId="5">
    <w:abstractNumId w:val="6"/>
  </w:num>
  <w:num w:numId="6">
    <w:abstractNumId w:val="3"/>
  </w:num>
  <w:num w:numId="7">
    <w:abstractNumId w:val="8"/>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8"/>
    <w:link w:val="653"/>
    <w:uiPriority w:val="9"/>
    <w:rPr>
      <w:rFonts w:ascii="Arial" w:hAnsi="Arial" w:eastAsia="Arial" w:cs="Arial"/>
      <w:sz w:val="40"/>
      <w:szCs w:val="40"/>
    </w:rPr>
  </w:style>
  <w:style w:type="character" w:styleId="15">
    <w:name w:val="Heading 2 Char"/>
    <w:basedOn w:val="658"/>
    <w:link w:val="654"/>
    <w:uiPriority w:val="9"/>
    <w:rPr>
      <w:rFonts w:ascii="Arial" w:hAnsi="Arial" w:eastAsia="Arial" w:cs="Arial"/>
      <w:sz w:val="34"/>
    </w:rPr>
  </w:style>
  <w:style w:type="character" w:styleId="17">
    <w:name w:val="Heading 3 Char"/>
    <w:basedOn w:val="658"/>
    <w:link w:val="655"/>
    <w:uiPriority w:val="9"/>
    <w:rPr>
      <w:rFonts w:ascii="Arial" w:hAnsi="Arial" w:eastAsia="Arial" w:cs="Arial"/>
      <w:sz w:val="30"/>
      <w:szCs w:val="30"/>
    </w:rPr>
  </w:style>
  <w:style w:type="character" w:styleId="19">
    <w:name w:val="Heading 4 Char"/>
    <w:basedOn w:val="658"/>
    <w:link w:val="656"/>
    <w:uiPriority w:val="9"/>
    <w:rPr>
      <w:rFonts w:ascii="Arial" w:hAnsi="Arial" w:eastAsia="Arial" w:cs="Arial"/>
      <w:b/>
      <w:bCs/>
      <w:sz w:val="26"/>
      <w:szCs w:val="26"/>
    </w:rPr>
  </w:style>
  <w:style w:type="character" w:styleId="21">
    <w:name w:val="Heading 5 Char"/>
    <w:basedOn w:val="658"/>
    <w:link w:val="657"/>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character" w:styleId="36">
    <w:name w:val="Subtitle Char"/>
    <w:basedOn w:val="658"/>
    <w:link w:val="676"/>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8"/>
    <w:link w:val="674"/>
    <w:uiPriority w:val="99"/>
  </w:style>
  <w:style w:type="character" w:styleId="44">
    <w:name w:val="Footer Char"/>
    <w:basedOn w:val="658"/>
    <w:link w:val="67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73"/>
    <w:uiPriority w:val="99"/>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8"/>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653">
    <w:name w:val="Heading 1"/>
    <w:basedOn w:val="652"/>
    <w:next w:val="652"/>
    <w:link w:val="699"/>
    <w:uiPriority w:val="0"/>
    <w:qFormat/>
    <w:pPr>
      <w:keepLines/>
      <w:keepNext/>
      <w:spacing w:before="340" w:after="330" w:line="578" w:lineRule="auto"/>
      <w:outlineLvl w:val="0"/>
    </w:pPr>
    <w:rPr>
      <w:b/>
      <w:sz w:val="44"/>
    </w:rPr>
  </w:style>
  <w:style w:type="paragraph" w:styleId="654">
    <w:name w:val="Heading 2"/>
    <w:basedOn w:val="652"/>
    <w:next w:val="652"/>
    <w:link w:val="700"/>
    <w:uiPriority w:val="0"/>
    <w:qFormat/>
    <w:pPr>
      <w:keepLines/>
      <w:keepNext/>
      <w:spacing w:before="260" w:after="260" w:line="416" w:lineRule="auto"/>
      <w:outlineLvl w:val="1"/>
    </w:pPr>
    <w:rPr>
      <w:rFonts w:ascii="Arial" w:hAnsi="Arial" w:eastAsia="黑体"/>
      <w:b/>
      <w:bCs/>
      <w:sz w:val="32"/>
      <w:szCs w:val="32"/>
    </w:rPr>
  </w:style>
  <w:style w:type="paragraph" w:styleId="655">
    <w:name w:val="Heading 3"/>
    <w:basedOn w:val="652"/>
    <w:next w:val="652"/>
    <w:link w:val="701"/>
    <w:uiPriority w:val="0"/>
    <w:qFormat/>
    <w:pPr>
      <w:keepLines/>
      <w:keepNext/>
      <w:spacing w:before="260" w:after="260" w:line="416" w:lineRule="auto"/>
      <w:outlineLvl w:val="2"/>
    </w:pPr>
    <w:rPr>
      <w:b/>
      <w:bCs/>
      <w:sz w:val="32"/>
      <w:szCs w:val="32"/>
    </w:rPr>
  </w:style>
  <w:style w:type="paragraph" w:styleId="656">
    <w:name w:val="Heading 4"/>
    <w:basedOn w:val="652"/>
    <w:next w:val="652"/>
    <w:link w:val="702"/>
    <w:uiPriority w:val="0"/>
    <w:qFormat/>
    <w:pPr>
      <w:keepLines/>
      <w:keepNext/>
      <w:spacing w:before="280" w:after="290" w:line="376" w:lineRule="auto"/>
      <w:outlineLvl w:val="3"/>
    </w:pPr>
    <w:rPr>
      <w:rFonts w:ascii="Arial" w:hAnsi="Arial" w:eastAsia="黑体"/>
      <w:b/>
      <w:bCs/>
      <w:sz w:val="28"/>
      <w:szCs w:val="28"/>
    </w:rPr>
  </w:style>
  <w:style w:type="paragraph" w:styleId="657">
    <w:name w:val="Heading 5"/>
    <w:basedOn w:val="652"/>
    <w:next w:val="652"/>
    <w:uiPriority w:val="1"/>
    <w:qFormat/>
    <w:pPr>
      <w:ind w:left="721"/>
      <w:outlineLvl w:val="4"/>
    </w:pPr>
    <w:rPr>
      <w:b/>
      <w:b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List Number"/>
    <w:basedOn w:val="652"/>
    <w:uiPriority w:val="0"/>
    <w:qFormat/>
    <w:pPr>
      <w:ind w:left="1125" w:hanging="555"/>
      <w:tabs>
        <w:tab w:val="left" w:pos="1125" w:leader="none"/>
      </w:tabs>
    </w:pPr>
    <w:rPr>
      <w:rFonts w:eastAsia="宋体"/>
      <w:sz w:val="21"/>
      <w:szCs w:val="24"/>
    </w:rPr>
  </w:style>
  <w:style w:type="paragraph" w:styleId="661">
    <w:name w:val="Normal Indent"/>
    <w:basedOn w:val="652"/>
    <w:next w:val="652"/>
    <w:link w:val="703"/>
    <w:uiPriority w:val="99"/>
    <w:qFormat/>
    <w:pPr>
      <w:ind w:firstLine="420"/>
      <w:jc w:val="left"/>
    </w:pPr>
    <w:rPr>
      <w:sz w:val="24"/>
    </w:rPr>
  </w:style>
  <w:style w:type="paragraph" w:styleId="662">
    <w:name w:val="List Bullet"/>
    <w:basedOn w:val="653"/>
    <w:next w:val="652"/>
    <w:uiPriority w:val="99"/>
    <w:semiHidden/>
    <w:unhideWhenUsed/>
    <w:qFormat/>
    <w:pPr>
      <w:numPr>
        <w:ilvl w:val="0"/>
        <w:numId w:val="1"/>
      </w:numPr>
    </w:pPr>
  </w:style>
  <w:style w:type="paragraph" w:styleId="663">
    <w:name w:val="Document Map"/>
    <w:basedOn w:val="652"/>
    <w:uiPriority w:val="0"/>
    <w:qFormat/>
    <w:rPr>
      <w:rFonts w:ascii="宋体"/>
      <w:sz w:val="18"/>
      <w:szCs w:val="18"/>
    </w:rPr>
  </w:style>
  <w:style w:type="paragraph" w:styleId="664">
    <w:name w:val="annotation text"/>
    <w:basedOn w:val="652"/>
    <w:link w:val="716"/>
    <w:uiPriority w:val="99"/>
    <w:semiHidden/>
    <w:qFormat/>
    <w:pPr>
      <w:jc w:val="left"/>
    </w:pPr>
  </w:style>
  <w:style w:type="paragraph" w:styleId="665">
    <w:name w:val="Body Text"/>
    <w:basedOn w:val="652"/>
    <w:link w:val="708"/>
    <w:uiPriority w:val="0"/>
    <w:qFormat/>
    <w:pPr>
      <w:spacing w:line="400" w:lineRule="exact"/>
    </w:pPr>
    <w:rPr>
      <w:rFonts w:ascii="楷体_GB2312"/>
      <w:sz w:val="28"/>
    </w:rPr>
  </w:style>
  <w:style w:type="paragraph" w:styleId="666">
    <w:name w:val="Body Text Indent"/>
    <w:basedOn w:val="652"/>
    <w:next w:val="667"/>
    <w:link w:val="719"/>
    <w:uiPriority w:val="0"/>
    <w:qFormat/>
    <w:pPr>
      <w:ind w:left="420"/>
      <w:spacing w:after="120"/>
    </w:pPr>
  </w:style>
  <w:style w:type="paragraph" w:styleId="667">
    <w:name w:val="envelope return"/>
    <w:basedOn w:val="652"/>
    <w:uiPriority w:val="0"/>
    <w:qFormat/>
    <w:rPr>
      <w:rFonts w:ascii="Arial" w:hAnsi="Arial"/>
    </w:rPr>
  </w:style>
  <w:style w:type="paragraph" w:styleId="668">
    <w:name w:val="Block Text"/>
    <w:basedOn w:val="652"/>
    <w:uiPriority w:val="0"/>
    <w:qFormat/>
    <w:pPr>
      <w:ind w:left="147" w:right="246" w:firstLine="480"/>
      <w:spacing w:line="360" w:lineRule="auto"/>
    </w:pPr>
    <w:rPr>
      <w:rFonts w:ascii="宋体" w:hAnsi="宋体" w:eastAsia="宋体"/>
      <w:sz w:val="24"/>
      <w:szCs w:val="24"/>
    </w:rPr>
  </w:style>
  <w:style w:type="paragraph" w:styleId="669">
    <w:name w:val="Plain Text"/>
    <w:basedOn w:val="652"/>
    <w:link w:val="706"/>
    <w:uiPriority w:val="99"/>
    <w:qFormat/>
    <w:rPr>
      <w:rFonts w:ascii="宋体" w:hAnsi="Courier New"/>
    </w:rPr>
  </w:style>
  <w:style w:type="paragraph" w:styleId="670">
    <w:name w:val="Date"/>
    <w:basedOn w:val="652"/>
    <w:next w:val="652"/>
    <w:link w:val="707"/>
    <w:uiPriority w:val="0"/>
    <w:qFormat/>
    <w:rPr>
      <w:rFonts w:ascii="宋体" w:hAnsi="宋体"/>
      <w:sz w:val="24"/>
    </w:rPr>
  </w:style>
  <w:style w:type="paragraph" w:styleId="671">
    <w:name w:val="Body Text Indent 2"/>
    <w:basedOn w:val="652"/>
    <w:link w:val="709"/>
    <w:uiPriority w:val="0"/>
    <w:qFormat/>
    <w:pPr>
      <w:ind w:firstLine="502"/>
      <w:spacing w:line="360" w:lineRule="auto"/>
      <w:tabs>
        <w:tab w:val="left" w:pos="0" w:leader="none"/>
      </w:tabs>
    </w:pPr>
    <w:rPr>
      <w:rFonts w:ascii="宋体" w:eastAsia="宋体"/>
      <w:b/>
      <w:bCs/>
      <w:sz w:val="24"/>
    </w:rPr>
  </w:style>
  <w:style w:type="paragraph" w:styleId="672">
    <w:name w:val="Balloon Text"/>
    <w:basedOn w:val="652"/>
    <w:link w:val="710"/>
    <w:uiPriority w:val="0"/>
    <w:semiHidden/>
    <w:qFormat/>
    <w:rPr>
      <w:sz w:val="18"/>
      <w:szCs w:val="18"/>
    </w:rPr>
  </w:style>
  <w:style w:type="paragraph" w:styleId="673">
    <w:name w:val="Footer"/>
    <w:basedOn w:val="652"/>
    <w:link w:val="698"/>
    <w:uiPriority w:val="99"/>
    <w:unhideWhenUsed/>
    <w:qFormat/>
    <w:pPr>
      <w:jc w:val="left"/>
      <w:tabs>
        <w:tab w:val="center" w:pos="4153" w:leader="none"/>
        <w:tab w:val="right" w:pos="8306" w:leader="none"/>
      </w:tabs>
    </w:pPr>
    <w:rPr>
      <w:sz w:val="18"/>
      <w:szCs w:val="18"/>
    </w:rPr>
  </w:style>
  <w:style w:type="paragraph" w:styleId="674">
    <w:name w:val="Header"/>
    <w:basedOn w:val="652"/>
    <w:link w:val="69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75">
    <w:name w:val="toc 1"/>
    <w:basedOn w:val="652"/>
    <w:next w:val="652"/>
    <w:uiPriority w:val="39"/>
    <w:qFormat/>
    <w:pPr>
      <w:jc w:val="left"/>
    </w:pPr>
    <w:rPr>
      <w:sz w:val="24"/>
    </w:rPr>
  </w:style>
  <w:style w:type="paragraph" w:styleId="676">
    <w:name w:val="Subtitle"/>
    <w:basedOn w:val="652"/>
    <w:next w:val="652"/>
    <w:link w:val="735"/>
    <w:uiPriority w:val="0"/>
    <w:qFormat/>
    <w:pPr>
      <w:jc w:val="center"/>
      <w:spacing w:before="240" w:after="60" w:line="312" w:lineRule="auto"/>
      <w:outlineLvl w:val="1"/>
    </w:pPr>
    <w:rPr>
      <w:rFonts w:ascii="Cambria" w:hAnsi="Cambria" w:eastAsia="宋体"/>
      <w:b/>
      <w:bCs/>
      <w:sz w:val="32"/>
      <w:szCs w:val="32"/>
    </w:rPr>
  </w:style>
  <w:style w:type="paragraph" w:styleId="677">
    <w:name w:val="Body Text Indent 3"/>
    <w:basedOn w:val="652"/>
    <w:link w:val="711"/>
    <w:uiPriority w:val="0"/>
    <w:qFormat/>
    <w:pPr>
      <w:ind w:left="420"/>
      <w:spacing w:after="120"/>
    </w:pPr>
    <w:rPr>
      <w:sz w:val="16"/>
      <w:szCs w:val="16"/>
    </w:rPr>
  </w:style>
  <w:style w:type="paragraph" w:styleId="678">
    <w:name w:val="Body Text 2"/>
    <w:basedOn w:val="653"/>
    <w:next w:val="662"/>
    <w:uiPriority w:val="0"/>
    <w:qFormat/>
    <w:pPr>
      <w:spacing w:after="120" w:line="480" w:lineRule="auto"/>
    </w:pPr>
  </w:style>
  <w:style w:type="paragraph" w:styleId="679">
    <w:name w:val="Normal (Web)"/>
    <w:basedOn w:val="652"/>
    <w:uiPriority w:val="99"/>
    <w:qFormat/>
    <w:pPr>
      <w:jc w:val="left"/>
      <w:spacing w:before="100" w:beforeAutospacing="1" w:after="100" w:afterAutospacing="1"/>
      <w:widowControl/>
    </w:pPr>
    <w:rPr>
      <w:rFonts w:ascii="宋体" w:hAnsi="宋体" w:eastAsia="宋体" w:cs="宋体"/>
      <w:sz w:val="24"/>
      <w:szCs w:val="24"/>
    </w:rPr>
  </w:style>
  <w:style w:type="paragraph" w:styleId="680">
    <w:name w:val="index 1"/>
    <w:basedOn w:val="652"/>
    <w:next w:val="652"/>
    <w:uiPriority w:val="0"/>
    <w:semiHidden/>
    <w:qFormat/>
  </w:style>
  <w:style w:type="paragraph" w:styleId="681">
    <w:name w:val="annotation subject"/>
    <w:basedOn w:val="664"/>
    <w:next w:val="664"/>
    <w:link w:val="717"/>
    <w:uiPriority w:val="0"/>
    <w:semiHidden/>
    <w:qFormat/>
    <w:rPr>
      <w:b/>
      <w:bCs/>
    </w:rPr>
  </w:style>
  <w:style w:type="paragraph" w:styleId="682">
    <w:name w:val="Body Text First Indent 2"/>
    <w:basedOn w:val="666"/>
    <w:next w:val="652"/>
    <w:link w:val="731"/>
    <w:uiPriority w:val="0"/>
    <w:qFormat/>
    <w:pPr>
      <w:ind w:firstLine="420"/>
    </w:pPr>
    <w:rPr>
      <w:rFonts w:eastAsia="宋体"/>
      <w:sz w:val="21"/>
      <w:szCs w:val="24"/>
    </w:rPr>
  </w:style>
  <w:style w:type="table" w:styleId="683">
    <w:name w:val="Table Grid"/>
    <w:basedOn w:val="65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4">
    <w:name w:val="page number"/>
    <w:basedOn w:val="658"/>
    <w:uiPriority w:val="0"/>
    <w:qFormat/>
  </w:style>
  <w:style w:type="character" w:styleId="685">
    <w:name w:val="FollowedHyperlink"/>
    <w:basedOn w:val="658"/>
    <w:uiPriority w:val="99"/>
    <w:semiHidden/>
    <w:unhideWhenUsed/>
    <w:qFormat/>
    <w:rPr>
      <w:color w:val="333333"/>
      <w:u w:val="none"/>
    </w:rPr>
  </w:style>
  <w:style w:type="character" w:styleId="686">
    <w:name w:val="Emphasis"/>
    <w:basedOn w:val="658"/>
    <w:uiPriority w:val="20"/>
    <w:qFormat/>
  </w:style>
  <w:style w:type="character" w:styleId="687">
    <w:name w:val="Hyperlink"/>
    <w:basedOn w:val="658"/>
    <w:uiPriority w:val="0"/>
    <w:qFormat/>
    <w:rPr>
      <w:color w:val="333333"/>
      <w:u w:val="none"/>
    </w:rPr>
  </w:style>
  <w:style w:type="character" w:styleId="688">
    <w:name w:val="annotation reference"/>
    <w:uiPriority w:val="99"/>
    <w:semiHidden/>
    <w:qFormat/>
    <w:rPr>
      <w:sz w:val="21"/>
      <w:szCs w:val="21"/>
    </w:rPr>
  </w:style>
  <w:style w:type="paragraph" w:styleId="689" w:customStyle="1">
    <w:name w:val="正文首行缩进 211"/>
    <w:basedOn w:val="690"/>
    <w:uiPriority w:val="0"/>
    <w:qFormat/>
    <w:pPr>
      <w:ind w:left="420"/>
      <w:spacing w:after="120" w:line="240" w:lineRule="auto"/>
    </w:pPr>
    <w:rPr>
      <w:sz w:val="21"/>
    </w:rPr>
  </w:style>
  <w:style w:type="paragraph" w:styleId="690" w:customStyle="1">
    <w:name w:val="正文文本缩进11"/>
    <w:basedOn w:val="652"/>
    <w:next w:val="652"/>
    <w:uiPriority w:val="0"/>
    <w:qFormat/>
    <w:pPr>
      <w:ind w:firstLine="420"/>
      <w:spacing w:line="360" w:lineRule="exact"/>
    </w:pPr>
    <w:rPr>
      <w:sz w:val="24"/>
    </w:rPr>
  </w:style>
  <w:style w:type="paragraph" w:styleId="691" w:customStyle="1">
    <w:name w:val="目录 51"/>
    <w:next w:val="652"/>
    <w:uiPriority w:val="0"/>
    <w:qFormat/>
    <w:pPr>
      <w:ind w:left="1275"/>
      <w:jc w:val="both"/>
    </w:pPr>
    <w:rPr>
      <w:rFonts w:ascii="Times New Roman" w:hAnsi="Times New Roman" w:eastAsia="宋体" w:cs="Times New Roman"/>
      <w:sz w:val="21"/>
      <w:lang w:val="en-US" w:eastAsia="zh-CN" w:bidi="ar-SA"/>
    </w:rPr>
  </w:style>
  <w:style w:type="paragraph" w:styleId="692" w:customStyle="1">
    <w:name w:val="寄信人地址1"/>
    <w:basedOn w:val="652"/>
    <w:uiPriority w:val="0"/>
    <w:qFormat/>
    <w:rPr>
      <w:rFonts w:ascii="Arial" w:hAnsi="Arial"/>
    </w:rPr>
  </w:style>
  <w:style w:type="paragraph" w:styleId="693" w:customStyle="1">
    <w:name w:val="段"/>
    <w:next w:val="652"/>
    <w:uiPriority w:val="0"/>
    <w:qFormat/>
    <w:pPr>
      <w:ind w:firstLine="200"/>
      <w:jc w:val="both"/>
    </w:pPr>
    <w:rPr>
      <w:rFonts w:ascii="宋体" w:hAnsi="Times New Roman" w:eastAsia="宋体" w:cs="Times New Roman"/>
      <w:sz w:val="21"/>
      <w:lang w:val="en-US" w:eastAsia="zh-CN" w:bidi="ar-SA"/>
    </w:rPr>
  </w:style>
  <w:style w:type="paragraph" w:styleId="694" w:customStyle="1">
    <w:name w:val="正文文本1"/>
    <w:basedOn w:val="652"/>
    <w:uiPriority w:val="0"/>
    <w:qFormat/>
    <w:pPr>
      <w:jc w:val="center"/>
    </w:pPr>
    <w:rPr>
      <w:rFonts w:ascii="方正大黑简体" w:hAnsi="Tahoma" w:eastAsia="方正大黑简体"/>
      <w:position w:val="6"/>
      <w:sz w:val="30"/>
      <w:lang w:eastAsia="en-US"/>
    </w:rPr>
  </w:style>
  <w:style w:type="paragraph" w:styleId="695" w:customStyle="1">
    <w:name w:val="首行缩进"/>
    <w:basedOn w:val="652"/>
    <w:uiPriority w:val="0"/>
    <w:qFormat/>
    <w:pPr>
      <w:ind w:firstLine="480"/>
    </w:pPr>
    <w:rPr>
      <w:lang w:val="zh-CN"/>
    </w:rPr>
  </w:style>
  <w:style w:type="paragraph" w:styleId="696" w:customStyle="1">
    <w:name w:val="Default"/>
    <w:next w:val="652"/>
    <w:uiPriority w:val="0"/>
    <w:qFormat/>
    <w:pPr>
      <w:widowControl w:val="off"/>
    </w:pPr>
    <w:rPr>
      <w:rFonts w:ascii="宋体糭.飬.." w:hAnsi="Times New Roman" w:eastAsia="宋体糭.飬.." w:cs="宋体糭.飬.."/>
      <w:color w:val="000000"/>
      <w:sz w:val="24"/>
      <w:szCs w:val="24"/>
      <w:lang w:val="en-US" w:eastAsia="zh-CN" w:bidi="ar-SA"/>
    </w:rPr>
  </w:style>
  <w:style w:type="character" w:styleId="697" w:customStyle="1">
    <w:name w:val="页眉 字符"/>
    <w:basedOn w:val="658"/>
    <w:link w:val="674"/>
    <w:uiPriority w:val="0"/>
    <w:qFormat/>
    <w:rPr>
      <w:sz w:val="18"/>
      <w:szCs w:val="18"/>
    </w:rPr>
  </w:style>
  <w:style w:type="character" w:styleId="698" w:customStyle="1">
    <w:name w:val="页脚 字符"/>
    <w:basedOn w:val="658"/>
    <w:link w:val="673"/>
    <w:uiPriority w:val="99"/>
    <w:qFormat/>
    <w:rPr>
      <w:sz w:val="18"/>
      <w:szCs w:val="18"/>
    </w:rPr>
  </w:style>
  <w:style w:type="character" w:styleId="699" w:customStyle="1">
    <w:name w:val="标题 1 字符"/>
    <w:basedOn w:val="658"/>
    <w:link w:val="653"/>
    <w:uiPriority w:val="0"/>
    <w:qFormat/>
    <w:rPr>
      <w:rFonts w:ascii="Times New Roman" w:hAnsi="Times New Roman" w:eastAsia="楷体_GB2312" w:cs="Times New Roman"/>
      <w:b/>
      <w:sz w:val="44"/>
      <w:szCs w:val="20"/>
    </w:rPr>
  </w:style>
  <w:style w:type="character" w:styleId="700" w:customStyle="1">
    <w:name w:val="标题 2 字符"/>
    <w:basedOn w:val="658"/>
    <w:link w:val="654"/>
    <w:uiPriority w:val="0"/>
    <w:qFormat/>
    <w:rPr>
      <w:rFonts w:ascii="Arial" w:hAnsi="Arial" w:eastAsia="黑体" w:cs="Times New Roman"/>
      <w:b/>
      <w:bCs/>
      <w:sz w:val="32"/>
      <w:szCs w:val="32"/>
    </w:rPr>
  </w:style>
  <w:style w:type="character" w:styleId="701" w:customStyle="1">
    <w:name w:val="标题 3 字符"/>
    <w:basedOn w:val="658"/>
    <w:link w:val="655"/>
    <w:uiPriority w:val="0"/>
    <w:qFormat/>
    <w:rPr>
      <w:rFonts w:ascii="Times New Roman" w:hAnsi="Times New Roman" w:eastAsia="楷体_GB2312" w:cs="Times New Roman"/>
      <w:b/>
      <w:bCs/>
      <w:sz w:val="32"/>
      <w:szCs w:val="32"/>
    </w:rPr>
  </w:style>
  <w:style w:type="character" w:styleId="702" w:customStyle="1">
    <w:name w:val="标题 4 字符"/>
    <w:basedOn w:val="658"/>
    <w:link w:val="656"/>
    <w:uiPriority w:val="0"/>
    <w:qFormat/>
    <w:rPr>
      <w:rFonts w:ascii="Arial" w:hAnsi="Arial" w:eastAsia="黑体" w:cs="Times New Roman"/>
      <w:b/>
      <w:bCs/>
      <w:sz w:val="28"/>
      <w:szCs w:val="28"/>
    </w:rPr>
  </w:style>
  <w:style w:type="character" w:styleId="703" w:customStyle="1">
    <w:name w:val="正文缩进 字符"/>
    <w:link w:val="661"/>
    <w:uiPriority w:val="0"/>
    <w:qFormat/>
    <w:rPr>
      <w:rFonts w:ascii="Times New Roman" w:hAnsi="Times New Roman" w:eastAsia="楷体_GB2312" w:cs="Times New Roman"/>
      <w:sz w:val="24"/>
      <w:szCs w:val="20"/>
    </w:rPr>
  </w:style>
  <w:style w:type="paragraph" w:styleId="704" w:customStyle="1">
    <w:name w:val="纯文本1"/>
    <w:basedOn w:val="652"/>
    <w:link w:val="705"/>
    <w:uiPriority w:val="0"/>
    <w:qFormat/>
    <w:rPr>
      <w:rFonts w:ascii="宋体" w:hAnsi="Courier New"/>
    </w:rPr>
  </w:style>
  <w:style w:type="character" w:styleId="705" w:customStyle="1">
    <w:name w:val="Plain Text Char Char"/>
    <w:link w:val="704"/>
    <w:uiPriority w:val="0"/>
    <w:qFormat/>
    <w:rPr>
      <w:rFonts w:ascii="宋体" w:hAnsi="Courier New" w:eastAsia="楷体_GB2312" w:cs="Times New Roman"/>
      <w:sz w:val="26"/>
      <w:szCs w:val="20"/>
    </w:rPr>
  </w:style>
  <w:style w:type="character" w:styleId="706" w:customStyle="1">
    <w:name w:val="纯文本 字符"/>
    <w:basedOn w:val="658"/>
    <w:link w:val="669"/>
    <w:uiPriority w:val="99"/>
    <w:qFormat/>
    <w:rPr>
      <w:rFonts w:ascii="宋体" w:hAnsi="Courier New" w:eastAsia="楷体_GB2312" w:cs="Times New Roman"/>
      <w:sz w:val="26"/>
      <w:szCs w:val="20"/>
    </w:rPr>
  </w:style>
  <w:style w:type="character" w:styleId="707" w:customStyle="1">
    <w:name w:val="日期 字符"/>
    <w:basedOn w:val="658"/>
    <w:link w:val="670"/>
    <w:uiPriority w:val="0"/>
    <w:qFormat/>
    <w:rPr>
      <w:rFonts w:ascii="宋体" w:hAnsi="宋体" w:eastAsia="楷体_GB2312" w:cs="Times New Roman"/>
      <w:sz w:val="24"/>
      <w:szCs w:val="20"/>
    </w:rPr>
  </w:style>
  <w:style w:type="character" w:styleId="708" w:customStyle="1">
    <w:name w:val="正文文本 字符"/>
    <w:basedOn w:val="658"/>
    <w:link w:val="665"/>
    <w:uiPriority w:val="0"/>
    <w:qFormat/>
    <w:rPr>
      <w:rFonts w:ascii="楷体_GB2312" w:hAnsi="Times New Roman" w:eastAsia="楷体_GB2312" w:cs="Times New Roman"/>
      <w:sz w:val="28"/>
      <w:szCs w:val="20"/>
    </w:rPr>
  </w:style>
  <w:style w:type="character" w:styleId="709" w:customStyle="1">
    <w:name w:val="正文文本缩进 2 字符"/>
    <w:basedOn w:val="658"/>
    <w:link w:val="671"/>
    <w:uiPriority w:val="0"/>
    <w:qFormat/>
    <w:rPr>
      <w:rFonts w:ascii="宋体" w:hAnsi="Times New Roman" w:eastAsia="宋体" w:cs="Times New Roman"/>
      <w:b/>
      <w:bCs/>
      <w:sz w:val="24"/>
      <w:szCs w:val="20"/>
    </w:rPr>
  </w:style>
  <w:style w:type="character" w:styleId="710" w:customStyle="1">
    <w:name w:val="批注框文本 字符"/>
    <w:basedOn w:val="658"/>
    <w:link w:val="672"/>
    <w:uiPriority w:val="0"/>
    <w:semiHidden/>
    <w:qFormat/>
    <w:rPr>
      <w:rFonts w:ascii="Times New Roman" w:hAnsi="Times New Roman" w:eastAsia="楷体_GB2312" w:cs="Times New Roman"/>
      <w:sz w:val="18"/>
      <w:szCs w:val="18"/>
    </w:rPr>
  </w:style>
  <w:style w:type="character" w:styleId="711" w:customStyle="1">
    <w:name w:val="正文文本缩进 3 字符"/>
    <w:basedOn w:val="658"/>
    <w:link w:val="677"/>
    <w:uiPriority w:val="0"/>
    <w:qFormat/>
    <w:rPr>
      <w:rFonts w:ascii="Times New Roman" w:hAnsi="Times New Roman" w:eastAsia="楷体_GB2312" w:cs="Times New Roman"/>
      <w:sz w:val="16"/>
      <w:szCs w:val="16"/>
    </w:rPr>
  </w:style>
  <w:style w:type="character" w:styleId="712" w:customStyle="1">
    <w:name w:val="正文首行缩进 Char Char"/>
    <w:link w:val="713"/>
    <w:uiPriority w:val="0"/>
    <w:qFormat/>
    <w:rPr>
      <w:szCs w:val="24"/>
    </w:rPr>
  </w:style>
  <w:style w:type="paragraph" w:styleId="713" w:customStyle="1">
    <w:name w:val="正文首行缩进1"/>
    <w:basedOn w:val="665"/>
    <w:link w:val="712"/>
    <w:uiPriority w:val="0"/>
    <w:qFormat/>
    <w:pPr>
      <w:ind w:firstLine="420"/>
      <w:spacing w:after="120" w:line="240" w:lineRule="auto"/>
    </w:pPr>
    <w:rPr>
      <w:rFonts w:asciiTheme="minorHAnsi" w:hAnsiTheme="minorHAnsi" w:eastAsiaTheme="minorEastAsia" w:cstheme="minorBidi"/>
      <w:sz w:val="21"/>
      <w:szCs w:val="24"/>
    </w:rPr>
  </w:style>
  <w:style w:type="paragraph" w:styleId="714" w:customStyle="1">
    <w:name w:val="_Style 24"/>
    <w:basedOn w:val="652"/>
    <w:uiPriority w:val="0"/>
    <w:qFormat/>
    <w:rPr>
      <w:rFonts w:eastAsia="宋体"/>
      <w:sz w:val="21"/>
      <w:szCs w:val="24"/>
    </w:rPr>
  </w:style>
  <w:style w:type="character" w:styleId="715" w:customStyle="1">
    <w:name w:val="Char Char1"/>
    <w:uiPriority w:val="0"/>
    <w:qFormat/>
    <w:rPr>
      <w:rFonts w:ascii="宋体" w:hAnsi="Courier New" w:eastAsia="楷体_GB2312"/>
      <w:sz w:val="26"/>
      <w:lang w:val="en-US" w:eastAsia="zh-CN" w:bidi="ar-SA"/>
    </w:rPr>
  </w:style>
  <w:style w:type="character" w:styleId="716" w:customStyle="1">
    <w:name w:val="批注文字 字符"/>
    <w:basedOn w:val="658"/>
    <w:link w:val="664"/>
    <w:uiPriority w:val="99"/>
    <w:semiHidden/>
    <w:qFormat/>
    <w:rPr>
      <w:rFonts w:ascii="Times New Roman" w:hAnsi="Times New Roman" w:eastAsia="楷体_GB2312" w:cs="Times New Roman"/>
      <w:sz w:val="26"/>
      <w:szCs w:val="20"/>
    </w:rPr>
  </w:style>
  <w:style w:type="character" w:styleId="717" w:customStyle="1">
    <w:name w:val="批注主题 字符"/>
    <w:basedOn w:val="716"/>
    <w:link w:val="681"/>
    <w:uiPriority w:val="0"/>
    <w:semiHidden/>
    <w:qFormat/>
    <w:rPr>
      <w:rFonts w:ascii="Times New Roman" w:hAnsi="Times New Roman" w:eastAsia="楷体_GB2312" w:cs="Times New Roman"/>
      <w:b/>
      <w:bCs/>
      <w:sz w:val="26"/>
      <w:szCs w:val="20"/>
    </w:rPr>
  </w:style>
  <w:style w:type="paragraph" w:styleId="718" w:customStyle="1">
    <w:name w:val="纯文本111"/>
    <w:basedOn w:val="652"/>
    <w:uiPriority w:val="0"/>
    <w:qFormat/>
    <w:rPr>
      <w:rFonts w:ascii="宋体" w:hAnsi="Courier New"/>
      <w:sz w:val="28"/>
    </w:rPr>
  </w:style>
  <w:style w:type="character" w:styleId="719" w:customStyle="1">
    <w:name w:val="正文文本缩进 字符"/>
    <w:basedOn w:val="658"/>
    <w:link w:val="666"/>
    <w:uiPriority w:val="0"/>
    <w:qFormat/>
    <w:rPr>
      <w:rFonts w:ascii="Times New Roman" w:hAnsi="Times New Roman" w:eastAsia="楷体_GB2312" w:cs="Times New Roman"/>
      <w:sz w:val="26"/>
      <w:szCs w:val="20"/>
    </w:rPr>
  </w:style>
  <w:style w:type="character" w:styleId="720" w:customStyle="1">
    <w:name w:val="ca-221"/>
    <w:uiPriority w:val="0"/>
    <w:qFormat/>
    <w:rPr>
      <w:rFonts w:hint="eastAsia" w:ascii="宋体" w:hAnsi="宋体" w:eastAsia="宋体"/>
      <w:color w:val="ff0000"/>
      <w:sz w:val="24"/>
      <w:szCs w:val="24"/>
    </w:rPr>
  </w:style>
  <w:style w:type="paragraph" w:styleId="721" w:customStyle="1">
    <w:name w:val="p0"/>
    <w:basedOn w:val="652"/>
    <w:uiPriority w:val="0"/>
    <w:qFormat/>
    <w:pPr>
      <w:jc w:val="left"/>
      <w:spacing w:before="100" w:beforeAutospacing="1" w:after="100" w:afterAutospacing="1"/>
      <w:widowControl/>
    </w:pPr>
    <w:rPr>
      <w:rFonts w:ascii="宋体" w:hAnsi="宋体" w:eastAsia="宋体" w:cs="宋体"/>
      <w:sz w:val="24"/>
      <w:szCs w:val="24"/>
    </w:rPr>
  </w:style>
  <w:style w:type="paragraph" w:styleId="722"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723" w:customStyle="1">
    <w:name w:val="文字"/>
    <w:basedOn w:val="652"/>
    <w:uiPriority w:val="0"/>
    <w:qFormat/>
    <w:pPr>
      <w:ind w:firstLine="420"/>
      <w:spacing w:line="360" w:lineRule="auto"/>
      <w:widowControl/>
    </w:pPr>
    <w:rPr>
      <w:rFonts w:eastAsia="宋体"/>
      <w:sz w:val="24"/>
      <w:szCs w:val="24"/>
    </w:rPr>
  </w:style>
  <w:style w:type="character" w:styleId="724" w:customStyle="1">
    <w:name w:val="正文缩进 Char"/>
    <w:uiPriority w:val="0"/>
    <w:qFormat/>
    <w:rPr>
      <w:rFonts w:eastAsia="楷体_GB2312"/>
      <w:sz w:val="24"/>
      <w:lang w:val="en-US" w:eastAsia="zh-CN" w:bidi="ar-SA"/>
    </w:rPr>
  </w:style>
  <w:style w:type="paragraph" w:styleId="725">
    <w:name w:val="List Paragraph"/>
    <w:basedOn w:val="652"/>
    <w:uiPriority w:val="34"/>
    <w:qFormat/>
    <w:pPr>
      <w:ind w:firstLine="420"/>
    </w:pPr>
    <w:rPr>
      <w:rFonts w:eastAsia="宋体"/>
      <w:sz w:val="21"/>
      <w:szCs w:val="24"/>
    </w:rPr>
  </w:style>
  <w:style w:type="paragraph" w:styleId="726" w:customStyle="1">
    <w:name w:val="xl91"/>
    <w:basedOn w:val="653"/>
    <w:next w:val="727"/>
    <w:uiPriority w:val="0"/>
    <w:qFormat/>
    <w:pPr>
      <w:ind w:firstLine="3584"/>
      <w:spacing w:before="280" w:after="280" w:line="240" w:lineRule="auto"/>
    </w:pPr>
  </w:style>
  <w:style w:type="paragraph" w:styleId="727" w:customStyle="1">
    <w:name w:val="xl76"/>
    <w:basedOn w:val="653"/>
    <w:next w:val="678"/>
    <w:uiPriority w:val="0"/>
    <w:qFormat/>
    <w:pPr>
      <w:ind w:firstLine="3584"/>
      <w:jc w:val="center"/>
      <w:spacing w:before="280" w:after="280" w:line="240" w:lineRule="auto"/>
    </w:pPr>
  </w:style>
  <w:style w:type="paragraph" w:styleId="728" w:customStyle="1">
    <w:name w:val="正文_0_0"/>
    <w:uiPriority w:val="0"/>
    <w:qFormat/>
    <w:pPr>
      <w:jc w:val="both"/>
      <w:widowControl w:val="off"/>
    </w:pPr>
    <w:rPr>
      <w:rFonts w:ascii="Calibri" w:hAnsi="Calibri" w:eastAsia="宋体" w:cs="Times New Roman"/>
      <w:lang w:val="en-US" w:eastAsia="zh-CN" w:bidi="ar-SA"/>
    </w:rPr>
  </w:style>
  <w:style w:type="paragraph" w:styleId="729"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730" w:customStyle="1">
    <w:name w:val="修订1"/>
    <w:hidden/>
    <w:uiPriority w:val="99"/>
    <w:semiHidden/>
    <w:qFormat/>
    <w:rPr>
      <w:rFonts w:ascii="Times New Roman" w:hAnsi="Times New Roman" w:eastAsia="楷体_GB2312" w:cs="Times New Roman"/>
      <w:sz w:val="26"/>
      <w:lang w:val="en-US" w:eastAsia="zh-CN" w:bidi="ar-SA"/>
    </w:rPr>
  </w:style>
  <w:style w:type="character" w:styleId="731" w:customStyle="1">
    <w:name w:val="正文文本首行缩进 2 字符"/>
    <w:basedOn w:val="719"/>
    <w:link w:val="682"/>
    <w:uiPriority w:val="0"/>
    <w:qFormat/>
    <w:rPr>
      <w:rFonts w:ascii="Times New Roman" w:hAnsi="Times New Roman" w:eastAsia="宋体" w:cs="Times New Roman"/>
      <w:sz w:val="26"/>
      <w:szCs w:val="24"/>
    </w:rPr>
  </w:style>
  <w:style w:type="paragraph" w:styleId="732" w:customStyle="1">
    <w:name w:val="b4一级标题"/>
    <w:basedOn w:val="652"/>
    <w:uiPriority w:val="0"/>
    <w:qFormat/>
    <w:pPr>
      <w:jc w:val="center"/>
      <w:spacing w:line="360" w:lineRule="auto"/>
      <w:outlineLvl w:val="0"/>
    </w:pPr>
    <w:rPr>
      <w:rFonts w:ascii="宋体" w:hAnsi="宋体" w:eastAsia="宋体"/>
      <w:b/>
      <w:sz w:val="36"/>
      <w:szCs w:val="36"/>
    </w:rPr>
  </w:style>
  <w:style w:type="paragraph" w:styleId="733" w:customStyle="1">
    <w:name w:val="标题3"/>
    <w:basedOn w:val="655"/>
    <w:uiPriority w:val="0"/>
    <w:qFormat/>
    <w:pPr>
      <w:contextualSpacing/>
      <w:jc w:val="center"/>
      <w:spacing w:line="240" w:lineRule="auto"/>
    </w:pPr>
    <w:rPr>
      <w:rFonts w:eastAsia="黑体" w:cs="宋体"/>
      <w:sz w:val="28"/>
      <w:szCs w:val="20"/>
    </w:rPr>
  </w:style>
  <w:style w:type="paragraph" w:styleId="734"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735" w:customStyle="1">
    <w:name w:val="副标题 字符"/>
    <w:basedOn w:val="658"/>
    <w:link w:val="676"/>
    <w:uiPriority w:val="0"/>
    <w:qFormat/>
    <w:rPr>
      <w:rFonts w:ascii="Cambria" w:hAnsi="Cambria" w:eastAsia="宋体" w:cs="Times New Roman"/>
      <w:b/>
      <w:bCs/>
      <w:sz w:val="32"/>
      <w:szCs w:val="32"/>
    </w:rPr>
  </w:style>
  <w:style w:type="paragraph" w:styleId="736">
    <w:name w:val="No Spacing"/>
    <w:link w:val="737"/>
    <w:uiPriority w:val="1"/>
    <w:qFormat/>
    <w:rPr>
      <w:rFonts w:asciiTheme="minorHAnsi" w:hAnsiTheme="minorHAnsi" w:eastAsiaTheme="minorEastAsia" w:cstheme="minorBidi"/>
      <w:sz w:val="22"/>
      <w:szCs w:val="22"/>
      <w:lang w:val="en-US" w:eastAsia="zh-CN" w:bidi="ar-SA"/>
    </w:rPr>
  </w:style>
  <w:style w:type="character" w:styleId="737" w:customStyle="1">
    <w:name w:val="无间隔 字符"/>
    <w:basedOn w:val="658"/>
    <w:link w:val="736"/>
    <w:uiPriority w:val="1"/>
    <w:qFormat/>
    <w:rPr>
      <w:sz w:val="22"/>
    </w:rPr>
  </w:style>
  <w:style w:type="character" w:styleId="738" w:customStyle="1">
    <w:name w:val="ask-title"/>
    <w:basedOn w:val="658"/>
    <w:uiPriority w:val="0"/>
    <w:qFormat/>
  </w:style>
  <w:style w:type="paragraph" w:styleId="739" w:customStyle="1">
    <w:name w:val="hidinshow"/>
    <w:basedOn w:val="652"/>
    <w:uiPriority w:val="0"/>
    <w:qFormat/>
    <w:pPr>
      <w:jc w:val="left"/>
      <w:spacing w:before="100" w:beforeAutospacing="1" w:after="100" w:afterAutospacing="1"/>
      <w:widowControl/>
    </w:pPr>
    <w:rPr>
      <w:rFonts w:ascii="宋体" w:hAnsi="宋体" w:eastAsia="宋体" w:cs="宋体"/>
      <w:sz w:val="24"/>
      <w:szCs w:val="24"/>
    </w:rPr>
  </w:style>
  <w:style w:type="paragraph" w:styleId="740" w:customStyle="1">
    <w:name w:val="纯文本2"/>
    <w:basedOn w:val="652"/>
    <w:uiPriority w:val="0"/>
    <w:qFormat/>
    <w:rPr>
      <w:rFonts w:ascii="宋体" w:hAnsi="Courier New"/>
    </w:rPr>
  </w:style>
  <w:style w:type="paragraph" w:styleId="741" w:customStyle="1">
    <w:name w:val="Plain Text1"/>
    <w:basedOn w:val="652"/>
    <w:uiPriority w:val="0"/>
    <w:qFormat/>
    <w:rPr>
      <w:rFonts w:hint="eastAsia" w:ascii="宋体" w:hAnsi="Courier New"/>
      <w:sz w:val="28"/>
    </w:rPr>
  </w:style>
  <w:style w:type="table" w:styleId="742" w:customStyle="1">
    <w:name w:val="网格型1"/>
    <w:basedOn w:val="659"/>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43" w:customStyle="1">
    <w:name w:val="*正文"/>
    <w:basedOn w:val="652"/>
    <w:uiPriority w:val="0"/>
    <w:qFormat/>
    <w:pPr>
      <w:ind w:firstLine="200"/>
      <w:spacing w:line="360" w:lineRule="auto"/>
      <w:widowControl/>
    </w:pPr>
    <w:rPr>
      <w:rFonts w:ascii="仿宋_GB2312" w:hAnsi="Calibri" w:eastAsia="仿宋_GB2312"/>
      <w:sz w:val="24"/>
      <w:szCs w:val="28"/>
    </w:rPr>
  </w:style>
  <w:style w:type="paragraph" w:styleId="744" w:customStyle="1">
    <w:name w:val="p25"/>
    <w:basedOn w:val="652"/>
    <w:uiPriority w:val="0"/>
    <w:qFormat/>
    <w:rPr>
      <w:rFonts w:ascii="黑体" w:hAnsi="黑体" w:eastAsia="宋体" w:cs="黑体"/>
      <w:sz w:val="21"/>
      <w:szCs w:val="26"/>
    </w:rPr>
  </w:style>
  <w:style w:type="paragraph" w:styleId="745" w:customStyle="1">
    <w:name w:val="纯文本11"/>
    <w:basedOn w:val="652"/>
    <w:uiPriority w:val="0"/>
    <w:qFormat/>
    <w:rPr>
      <w:rFonts w:ascii="宋体" w:hAnsi="Courier New"/>
      <w:sz w:val="28"/>
    </w:rPr>
  </w:style>
  <w:style w:type="paragraph" w:styleId="746" w:customStyle="1">
    <w:name w:val="修订11"/>
    <w:hidden/>
    <w:uiPriority w:val="99"/>
    <w:semiHidden/>
    <w:qFormat/>
    <w:rPr>
      <w:rFonts w:ascii="Times New Roman" w:hAnsi="Times New Roman" w:eastAsia="楷体_GB2312" w:cs="Times New Roman"/>
      <w:sz w:val="26"/>
      <w:lang w:val="en-US" w:eastAsia="zh-CN" w:bidi="ar-SA"/>
    </w:rPr>
  </w:style>
  <w:style w:type="paragraph" w:styleId="74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748" w:customStyle="1">
    <w:name w:val="格式３"/>
    <w:basedOn w:val="652"/>
    <w:uiPriority w:val="0"/>
    <w:qFormat/>
    <w:pPr>
      <w:ind w:left="600" w:hanging="600"/>
      <w:spacing w:line="420" w:lineRule="exact"/>
    </w:pPr>
    <w:rPr>
      <w:rFonts w:ascii="宋体" w:hAnsi="宋体" w:eastAsia="宋体"/>
      <w:color w:val="000000"/>
      <w:sz w:val="24"/>
    </w:rPr>
  </w:style>
  <w:style w:type="character" w:styleId="749" w:customStyle="1">
    <w:name w:val="font71"/>
    <w:basedOn w:val="658"/>
    <w:uiPriority w:val="0"/>
    <w:qFormat/>
    <w:rPr>
      <w:rFonts w:hint="eastAsia" w:ascii="宋体" w:hAnsi="宋体" w:eastAsia="宋体" w:cs="宋体"/>
      <w:color w:val="000000"/>
      <w:sz w:val="21"/>
      <w:szCs w:val="21"/>
      <w:u w:val="none"/>
    </w:rPr>
  </w:style>
  <w:style w:type="character" w:styleId="750" w:customStyle="1">
    <w:name w:val="font61"/>
    <w:basedOn w:val="658"/>
    <w:uiPriority w:val="0"/>
    <w:qFormat/>
    <w:rPr>
      <w:rFonts w:hint="eastAsia" w:ascii="宋体" w:hAnsi="宋体" w:eastAsia="宋体" w:cs="宋体"/>
      <w:color w:val="ff0000"/>
      <w:sz w:val="21"/>
      <w:szCs w:val="21"/>
      <w:u w:val="none"/>
    </w:rPr>
  </w:style>
  <w:style w:type="character" w:styleId="751" w:customStyle="1">
    <w:name w:val="font41"/>
    <w:basedOn w:val="658"/>
    <w:uiPriority w:val="0"/>
    <w:qFormat/>
    <w:rPr>
      <w:rFonts w:hint="eastAsia" w:ascii="宋体" w:hAnsi="宋体" w:eastAsia="宋体" w:cs="宋体"/>
      <w:color w:val="000000"/>
      <w:sz w:val="21"/>
      <w:szCs w:val="21"/>
      <w:u w:val="none"/>
    </w:rPr>
  </w:style>
  <w:style w:type="character" w:styleId="752" w:customStyle="1">
    <w:name w:val="font101"/>
    <w:basedOn w:val="658"/>
    <w:uiPriority w:val="0"/>
    <w:qFormat/>
    <w:rPr>
      <w:rFonts w:ascii="微软雅黑" w:hAnsi="微软雅黑" w:eastAsia="微软雅黑" w:cs="微软雅黑"/>
      <w:color w:val="000000"/>
      <w:sz w:val="22"/>
      <w:szCs w:val="22"/>
      <w:u w:val="none"/>
    </w:rPr>
  </w:style>
  <w:style w:type="character" w:styleId="753" w:customStyle="1">
    <w:name w:val="font81"/>
    <w:basedOn w:val="658"/>
    <w:uiPriority w:val="0"/>
    <w:qFormat/>
    <w:rPr>
      <w:rFonts w:hint="eastAsia" w:ascii="宋体" w:hAnsi="宋体" w:eastAsia="宋体" w:cs="宋体"/>
      <w:color w:val="ff0000"/>
      <w:sz w:val="21"/>
      <w:szCs w:val="21"/>
      <w:u w:val="none"/>
    </w:rPr>
  </w:style>
  <w:style w:type="character" w:styleId="754" w:customStyle="1">
    <w:name w:val="font111"/>
    <w:basedOn w:val="658"/>
    <w:uiPriority w:val="0"/>
    <w:qFormat/>
    <w:rPr>
      <w:rFonts w:hint="eastAsia" w:ascii="微软雅黑" w:hAnsi="微软雅黑" w:eastAsia="微软雅黑" w:cs="微软雅黑"/>
      <w:color w:val="ff0000"/>
      <w:sz w:val="22"/>
      <w:szCs w:val="22"/>
      <w:u w:val="none"/>
    </w:rPr>
  </w:style>
  <w:style w:type="character" w:styleId="755" w:customStyle="1">
    <w:name w:val="font122"/>
    <w:basedOn w:val="658"/>
    <w:uiPriority w:val="0"/>
    <w:qFormat/>
    <w:rPr>
      <w:rFonts w:hint="eastAsia" w:ascii="宋体" w:hAnsi="宋体" w:eastAsia="宋体" w:cs="宋体"/>
      <w:color w:val="000000"/>
      <w:sz w:val="18"/>
      <w:szCs w:val="18"/>
      <w:u w:val="none"/>
    </w:rPr>
  </w:style>
  <w:style w:type="paragraph" w:styleId="756" w:customStyle="1">
    <w:name w:val="[基本段落]"/>
    <w:basedOn w:val="652"/>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757" w:customStyle="1">
    <w:name w:val="列表段落1"/>
    <w:basedOn w:val="652"/>
    <w:uiPriority w:val="34"/>
    <w:qFormat/>
    <w:pPr>
      <w:ind w:firstLine="420"/>
    </w:pPr>
  </w:style>
  <w:style w:type="paragraph" w:styleId="758" w:customStyle="1">
    <w:name w:val="列出段落1"/>
    <w:basedOn w:val="652"/>
    <w:uiPriority w:val="34"/>
    <w:qFormat/>
    <w:pPr>
      <w:ind w:firstLine="420"/>
    </w:pPr>
    <w:rPr>
      <w:rFonts w:ascii="Calibri" w:hAnsi="Calibri" w:eastAsia="宋体"/>
      <w:sz w:val="21"/>
      <w:szCs w:val="22"/>
    </w:rPr>
  </w:style>
  <w:style w:type="paragraph" w:styleId="759" w:customStyle="1">
    <w:name w:val="_正文段落"/>
    <w:basedOn w:val="652"/>
    <w:uiPriority w:val="0"/>
    <w:qFormat/>
    <w:pPr>
      <w:ind w:firstLine="480"/>
      <w:spacing w:line="360" w:lineRule="auto"/>
    </w:pPr>
    <w:rPr>
      <w:rFonts w:ascii="宋体" w:hAnsi="宋体" w:eastAsia="宋体"/>
      <w:sz w:val="24"/>
      <w:szCs w:val="24"/>
    </w:rPr>
  </w:style>
  <w:style w:type="paragraph" w:styleId="760" w:customStyle="1">
    <w:name w:val="纯文本3"/>
    <w:basedOn w:val="652"/>
    <w:uiPriority w:val="0"/>
    <w:qFormat/>
    <w:rPr>
      <w:rFonts w:ascii="宋体" w:hAnsi="Courier New"/>
    </w:rPr>
  </w:style>
  <w:style w:type="character" w:styleId="761" w:customStyle="1">
    <w:name w:val="NormalCharacter"/>
    <w:uiPriority w:val="0"/>
    <w:qFormat/>
  </w:style>
  <w:style w:type="table" w:styleId="762" w:customStyle="1">
    <w:name w:val="Table Normal"/>
    <w:uiPriority w:val="0"/>
    <w:semiHidden/>
    <w:unhideWhenUsed/>
    <w:qFormat/>
    <w:tblPr>
      <w:tblCellMar>
        <w:left w:w="0" w:type="dxa"/>
        <w:top w:w="0" w:type="dxa"/>
        <w:right w:w="0" w:type="dxa"/>
        <w:bottom w:w="0" w:type="dxa"/>
      </w:tblCellMar>
    </w:tblPr>
  </w:style>
  <w:style w:type="paragraph" w:styleId="763" w:customStyle="1">
    <w:name w:val="Table Text"/>
    <w:basedOn w:val="652"/>
    <w:uiPriority w:val="0"/>
    <w:semiHidden/>
    <w:qFormat/>
    <w:rPr>
      <w:rFonts w:ascii="宋体" w:hAnsi="宋体" w:eastAsia="宋体" w:cs="宋体"/>
      <w:sz w:val="24"/>
      <w:szCs w:val="24"/>
      <w:lang w:eastAsia="en-US"/>
    </w:rPr>
  </w:style>
  <w:style w:type="character" w:styleId="764" w:customStyle="1">
    <w:name w:val="font01"/>
    <w:basedOn w:val="658"/>
    <w:uiPriority w:val="0"/>
    <w:qFormat/>
    <w:rPr>
      <w:rFonts w:hint="eastAsia" w:ascii="宋体" w:hAnsi="宋体" w:eastAsia="宋体" w:cs="宋体"/>
      <w:color w:val="000000"/>
      <w:sz w:val="22"/>
      <w:szCs w:val="22"/>
      <w:u w:val="none"/>
    </w:rPr>
  </w:style>
  <w:style w:type="character" w:styleId="765" w:customStyle="1">
    <w:name w:val="font91"/>
    <w:basedOn w:val="658"/>
    <w:uiPriority w:val="0"/>
    <w:qFormat/>
    <w:rPr>
      <w:rFonts w:hint="eastAsia" w:ascii="宋体" w:hAnsi="宋体" w:eastAsia="宋体" w:cs="宋体"/>
      <w:color w:val="000000"/>
      <w:sz w:val="22"/>
      <w:szCs w:val="22"/>
      <w:u w:val="none"/>
      <w:vertAlign w:val="superscript"/>
    </w:rPr>
  </w:style>
  <w:style w:type="character" w:styleId="766" w:customStyle="1">
    <w:name w:val="font11"/>
    <w:basedOn w:val="658"/>
    <w:uiPriority w:val="0"/>
    <w:qFormat/>
    <w:rPr>
      <w:rFonts w:hint="eastAsia" w:ascii="宋体" w:hAnsi="宋体" w:eastAsia="宋体" w:cs="宋体"/>
      <w:color w:val="000000"/>
      <w:sz w:val="20"/>
      <w:szCs w:val="20"/>
      <w:u w:val="none"/>
    </w:rPr>
  </w:style>
  <w:style w:type="paragraph" w:styleId="767" w:customStyle="1">
    <w:name w:val="纯文本4"/>
    <w:basedOn w:val="652"/>
    <w:uiPriority w:val="0"/>
    <w:qFormat/>
    <w:rPr>
      <w:rFonts w:ascii="宋体" w:hAnsi="Courier New"/>
    </w:rPr>
  </w:style>
  <w:style w:type="paragraph" w:styleId="768" w:customStyle="1">
    <w:name w:val="正文缩进1"/>
    <w:basedOn w:val="652"/>
    <w:uiPriority w:val="0"/>
    <w:qFormat/>
    <w:pPr>
      <w:ind w:firstLine="420"/>
    </w:pPr>
    <w:rPr>
      <w:sz w:val="24"/>
    </w:rPr>
  </w:style>
  <w:style w:type="character" w:styleId="769" w:customStyle="1">
    <w:name w:val="NormalCharacter1"/>
    <w:uiPriority w:val="0"/>
    <w:semiHidden/>
    <w:qFormat/>
  </w:style>
  <w:style w:type="paragraph" w:styleId="770" w:customStyle="1">
    <w:name w:val="Blockquote"/>
    <w:basedOn w:val="652"/>
    <w:uiPriority w:val="0"/>
    <w:qFormat/>
    <w:pPr>
      <w:ind w:left="360" w:right="360"/>
      <w:jc w:val="left"/>
      <w:spacing w:before="100" w:after="100"/>
    </w:pPr>
    <w:rPr>
      <w:rFonts w:ascii="Calibri" w:hAnsi="Calibri" w:eastAsia="宋体"/>
      <w:sz w:val="24"/>
    </w:rPr>
  </w:style>
  <w:style w:type="paragraph" w:styleId="771" w:customStyle="1">
    <w:name w:val="Revision"/>
    <w:hidden/>
    <w:uiPriority w:val="99"/>
    <w:unhideWhenUsed/>
    <w:qFormat/>
    <w:rPr>
      <w:rFonts w:ascii="Times New Roman" w:hAnsi="Times New Roman" w:eastAsia="楷体_GB2312" w:cs="Times New Roman"/>
      <w:sz w:val="26"/>
      <w:lang w:val="en-US" w:eastAsia="zh-CN" w:bidi="ar-SA"/>
    </w:rPr>
  </w:style>
  <w:style w:type="numbering" w:styleId="117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9A94C909-EA3A-4BD1-ABA9-329BC9FF03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程天宇</cp:lastModifiedBy>
  <cp:revision>475</cp:revision>
  <dcterms:created xsi:type="dcterms:W3CDTF">2022-06-20T04:01:00Z</dcterms:created>
  <dcterms:modified xsi:type="dcterms:W3CDTF">2026-04-16T06:12:29Z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738772ECF63340798852BC66C7B4B27C_13</vt:lpwstr>
  </property>
  <property fmtid="{D5CDD505-2E9C-101B-9397-08002B2CF9AE}" pid="4" name="KSOTemplateDocerSaveRecord">
    <vt:lpwstr>eyJoZGlkIjoiNDc3YjQ0MzA3NzlkYzAxOWJkMWZjYjZiMjQ3OTg5ZWUiLCJ1c2VySWQiOiIzNzQzNTQzNDcifQ==</vt:lpwstr>
  </property>
</Properties>
</file>